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FF" w:rsidRDefault="00133EFF" w:rsidP="00B067DD"/>
    <w:p w:rsidR="00133EFF" w:rsidRDefault="00133EFF" w:rsidP="00133EFF">
      <w:pPr>
        <w:jc w:val="center"/>
      </w:pPr>
      <w:r>
        <w:rPr>
          <w:noProof/>
        </w:rPr>
        <w:drawing>
          <wp:inline distT="0" distB="0" distL="0" distR="0">
            <wp:extent cx="3609975" cy="1412493"/>
            <wp:effectExtent l="19050" t="0" r="0" b="0"/>
            <wp:docPr id="1" name="Picture 0" descr="~2020-Horiz_ClimateHubLogoFi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~2020-Horiz_ClimateHubLogoFinal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461" cy="141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F" w:rsidRDefault="00133EFF" w:rsidP="00B067DD"/>
    <w:p w:rsidR="00133EFF" w:rsidRDefault="00133EFF" w:rsidP="00133EFF">
      <w:pPr>
        <w:spacing w:after="0" w:line="240" w:lineRule="auto"/>
      </w:pPr>
      <w:r>
        <w:t>September 3, 2021</w:t>
      </w:r>
    </w:p>
    <w:p w:rsidR="00133EFF" w:rsidRDefault="00133EFF" w:rsidP="00133EFF">
      <w:pPr>
        <w:spacing w:after="0" w:line="240" w:lineRule="auto"/>
      </w:pPr>
    </w:p>
    <w:p w:rsidR="00133EFF" w:rsidRDefault="00133EFF" w:rsidP="00133EFF">
      <w:pPr>
        <w:spacing w:after="0" w:line="240" w:lineRule="auto"/>
      </w:pPr>
      <w:proofErr w:type="spellStart"/>
      <w:r>
        <w:t>Rajinder</w:t>
      </w:r>
      <w:proofErr w:type="spellEnd"/>
      <w:r>
        <w:t xml:space="preserve"> </w:t>
      </w:r>
      <w:proofErr w:type="spellStart"/>
      <w:r>
        <w:t>Sahota</w:t>
      </w:r>
      <w:proofErr w:type="spellEnd"/>
    </w:p>
    <w:p w:rsidR="00133EFF" w:rsidRDefault="00133EFF" w:rsidP="00133EFF">
      <w:pPr>
        <w:spacing w:after="0" w:line="240" w:lineRule="auto"/>
      </w:pPr>
      <w:r>
        <w:t>Deputy Executive Officer</w:t>
      </w:r>
    </w:p>
    <w:p w:rsidR="00133EFF" w:rsidRDefault="00133EFF" w:rsidP="00133EFF">
      <w:pPr>
        <w:spacing w:after="0" w:line="240" w:lineRule="auto"/>
      </w:pPr>
      <w:r>
        <w:t>California Air Resources Board</w:t>
      </w:r>
    </w:p>
    <w:p w:rsidR="00133EFF" w:rsidRDefault="00133EFF" w:rsidP="00133EFF">
      <w:pPr>
        <w:spacing w:after="0" w:line="240" w:lineRule="auto"/>
      </w:pPr>
      <w:r>
        <w:t>1001 “I” Street</w:t>
      </w:r>
    </w:p>
    <w:p w:rsidR="00133EFF" w:rsidRDefault="00133EFF" w:rsidP="00133EFF">
      <w:pPr>
        <w:spacing w:after="0" w:line="240" w:lineRule="auto"/>
      </w:pPr>
      <w:r>
        <w:t>Sacramento, CA 95814</w:t>
      </w:r>
    </w:p>
    <w:p w:rsidR="00133EFF" w:rsidRDefault="00133EFF" w:rsidP="00133EFF">
      <w:pPr>
        <w:spacing w:after="0"/>
      </w:pPr>
      <w:r>
        <w:t>Re: Scoping Plan Workshop Response to Staff Questions</w:t>
      </w:r>
    </w:p>
    <w:p w:rsidR="00133EFF" w:rsidRDefault="00133EFF" w:rsidP="00133EFF">
      <w:pPr>
        <w:spacing w:after="0"/>
      </w:pPr>
    </w:p>
    <w:p w:rsidR="00133EFF" w:rsidRDefault="00133EFF" w:rsidP="00133EFF">
      <w:pPr>
        <w:spacing w:after="0"/>
      </w:pPr>
      <w:r>
        <w:t xml:space="preserve">Dear </w:t>
      </w:r>
      <w:proofErr w:type="spellStart"/>
      <w:r>
        <w:t>Rajinder</w:t>
      </w:r>
      <w:proofErr w:type="spellEnd"/>
      <w:r>
        <w:t xml:space="preserve"> </w:t>
      </w:r>
      <w:proofErr w:type="spellStart"/>
      <w:r>
        <w:t>Sahota</w:t>
      </w:r>
      <w:proofErr w:type="spellEnd"/>
      <w:r>
        <w:t>,</w:t>
      </w:r>
    </w:p>
    <w:p w:rsidR="00133EFF" w:rsidRDefault="00133EFF" w:rsidP="00133EFF">
      <w:pPr>
        <w:spacing w:after="0"/>
      </w:pPr>
    </w:p>
    <w:p w:rsidR="00B067DD" w:rsidRDefault="00B067DD" w:rsidP="00B067DD">
      <w:r>
        <w:t xml:space="preserve">We appreciate the learning from the workshop and concur </w:t>
      </w:r>
      <w:r w:rsidR="00133EFF">
        <w:t>wholly</w:t>
      </w:r>
      <w:r>
        <w:t xml:space="preserve"> with the comments by </w:t>
      </w:r>
      <w:proofErr w:type="spellStart"/>
      <w:r>
        <w:t>Earthjustice</w:t>
      </w:r>
      <w:proofErr w:type="spellEnd"/>
      <w:r>
        <w:t xml:space="preserve"> and Sierra Club California that CARB aim for "carbon neutrality" by 2035 and a critical 80% minimum interim GHG reduction target by 2030 by urgently </w:t>
      </w:r>
      <w:r w:rsidR="0072015E">
        <w:t>rolling out the</w:t>
      </w:r>
      <w:r>
        <w:t xml:space="preserve"> Governor’s request for more aggressive climate action. </w:t>
      </w:r>
      <w:r w:rsidR="00133EFF">
        <w:t>To achieve the necessary reductions we support their recommendations as follows: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Exclude CCS for Fossil Fuel Combustion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Avoid CCS for Industrial Processes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Include Carbon Removal (but restrict from use as offset)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No CCS with industrial process, except where electrification or green hydrogen is genuinely infeasible which also applies to the Industrial Sector questions.</w:t>
      </w:r>
    </w:p>
    <w:p w:rsidR="00B067DD" w:rsidRDefault="0072015E" w:rsidP="0050567E">
      <w:pPr>
        <w:pStyle w:val="ListParagraph"/>
        <w:numPr>
          <w:ilvl w:val="0"/>
          <w:numId w:val="3"/>
        </w:numPr>
      </w:pPr>
      <w:r>
        <w:t>Expedite Carbon Dioxide R</w:t>
      </w:r>
      <w:r w:rsidR="00B067DD">
        <w:t xml:space="preserve">emoval through </w:t>
      </w:r>
      <w:r>
        <w:t>D</w:t>
      </w:r>
      <w:r w:rsidR="00B067DD">
        <w:t xml:space="preserve">irect </w:t>
      </w:r>
      <w:r>
        <w:t>A</w:t>
      </w:r>
      <w:r w:rsidR="00B067DD">
        <w:t xml:space="preserve">ir </w:t>
      </w:r>
      <w:r>
        <w:t>C</w:t>
      </w:r>
      <w:r w:rsidR="00B067DD">
        <w:t>apture and enhanced natural sequestration</w:t>
      </w:r>
      <w:r>
        <w:t xml:space="preserve"> by community-led, transparent approaches disallowing offsets that continue pollution</w:t>
      </w:r>
      <w:r w:rsidR="00B067DD">
        <w:t>.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Aim for 90% RPS by 2030.</w:t>
      </w:r>
    </w:p>
    <w:p w:rsidR="008E4732" w:rsidRDefault="00B067DD" w:rsidP="0050567E">
      <w:pPr>
        <w:pStyle w:val="ListParagraph"/>
        <w:numPr>
          <w:ilvl w:val="0"/>
          <w:numId w:val="3"/>
        </w:numPr>
      </w:pPr>
      <w:r>
        <w:t>Aim for a zero-carbon electric grid by 2035.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No biomass combustion to generate electricity.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No combustion of RNG or green H2 to replace fossil gas for reliability.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Only use green hydrogen in fuel cells (no combustion) and only in a limited role for grid reliability.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>
        <w:t>Vehicle fleet electrification:</w:t>
      </w:r>
    </w:p>
    <w:p w:rsidR="0072015E" w:rsidRDefault="0072015E" w:rsidP="0050567E">
      <w:pPr>
        <w:pStyle w:val="ListParagraph"/>
        <w:numPr>
          <w:ilvl w:val="0"/>
          <w:numId w:val="4"/>
        </w:numPr>
      </w:pPr>
      <w:r>
        <w:lastRenderedPageBreak/>
        <w:t>Light Duty: 100% Sales by 2030</w:t>
      </w:r>
    </w:p>
    <w:p w:rsidR="00B067DD" w:rsidRDefault="00B067DD" w:rsidP="0050567E">
      <w:pPr>
        <w:pStyle w:val="ListParagraph"/>
        <w:numPr>
          <w:ilvl w:val="0"/>
          <w:numId w:val="4"/>
        </w:numPr>
      </w:pPr>
      <w:r>
        <w:t>Transit Buses: 100% Sales by 2030</w:t>
      </w:r>
    </w:p>
    <w:p w:rsidR="00B067DD" w:rsidRDefault="00B067DD" w:rsidP="0050567E">
      <w:pPr>
        <w:pStyle w:val="ListParagraph"/>
        <w:numPr>
          <w:ilvl w:val="0"/>
          <w:numId w:val="4"/>
        </w:numPr>
      </w:pPr>
      <w:r>
        <w:t>Medium and Heavy Duty: 100% Sales by 2035</w:t>
      </w:r>
    </w:p>
    <w:p w:rsidR="00B067DD" w:rsidRDefault="00B067DD" w:rsidP="0050567E">
      <w:pPr>
        <w:pStyle w:val="ListParagraph"/>
        <w:numPr>
          <w:ilvl w:val="0"/>
          <w:numId w:val="4"/>
        </w:numPr>
      </w:pPr>
      <w:r>
        <w:t>Off-road: 100% Sales by 2030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proofErr w:type="spellStart"/>
      <w:r>
        <w:t>Put</w:t>
      </w:r>
      <w:proofErr w:type="spellEnd"/>
      <w:r>
        <w:t xml:space="preserve"> the Advanced Clear Cars II rule into ambitious alignment with the Mobile Source Strategy and stop offering excessive flexibility in the use of credits.</w:t>
      </w:r>
    </w:p>
    <w:p w:rsidR="00B067DD" w:rsidRDefault="00B067DD" w:rsidP="0050567E">
      <w:pPr>
        <w:pStyle w:val="ListParagraph"/>
        <w:numPr>
          <w:ilvl w:val="0"/>
          <w:numId w:val="3"/>
        </w:numPr>
      </w:pPr>
      <w:r w:rsidRPr="00B067DD">
        <w:t xml:space="preserve">Keep target for 100% ZE </w:t>
      </w:r>
      <w:r>
        <w:t xml:space="preserve">drayage </w:t>
      </w:r>
      <w:r w:rsidRPr="00B067DD">
        <w:t>sales by 2023, and push for aggressive early action.</w:t>
      </w:r>
    </w:p>
    <w:p w:rsidR="00B067DD" w:rsidRDefault="00D44ECE" w:rsidP="0050567E">
      <w:pPr>
        <w:pStyle w:val="ListParagraph"/>
        <w:numPr>
          <w:ilvl w:val="0"/>
          <w:numId w:val="3"/>
        </w:numPr>
      </w:pPr>
      <w:r>
        <w:t xml:space="preserve">Focus </w:t>
      </w:r>
      <w:proofErr w:type="gramStart"/>
      <w:r>
        <w:t xml:space="preserve">on </w:t>
      </w:r>
      <w:r w:rsidR="00B067DD">
        <w:t xml:space="preserve"> target</w:t>
      </w:r>
      <w:proofErr w:type="gramEnd"/>
      <w:r w:rsidR="00B067DD">
        <w:t xml:space="preserve"> of 100% ZE fleet for MHD by 2035.</w:t>
      </w:r>
    </w:p>
    <w:p w:rsidR="00D44ECE" w:rsidRDefault="00D44ECE" w:rsidP="0050567E">
      <w:pPr>
        <w:pStyle w:val="ListParagraph"/>
        <w:numPr>
          <w:ilvl w:val="0"/>
          <w:numId w:val="3"/>
        </w:numPr>
      </w:pPr>
      <w:r>
        <w:t>Set the Advanced Clean Fleet rule at 100% ZE MHD sales by 2035.</w:t>
      </w:r>
    </w:p>
    <w:p w:rsidR="00D44ECE" w:rsidRDefault="00D44ECE" w:rsidP="0050567E">
      <w:pPr>
        <w:pStyle w:val="ListParagraph"/>
        <w:numPr>
          <w:ilvl w:val="0"/>
          <w:numId w:val="3"/>
        </w:numPr>
      </w:pPr>
      <w:r>
        <w:t xml:space="preserve">Strengthen early year targets for </w:t>
      </w:r>
      <w:proofErr w:type="gramStart"/>
      <w:r>
        <w:t>Advanced  Clean</w:t>
      </w:r>
      <w:proofErr w:type="gramEnd"/>
      <w:r>
        <w:t xml:space="preserve"> Truck Rule with MSS’s projections from 2029-2035</w:t>
      </w:r>
      <w:r w:rsidR="0050567E">
        <w:t xml:space="preserve"> </w:t>
      </w:r>
      <w:r>
        <w:t>for Class 4-8 trucks as a requirement across all truck categories.</w:t>
      </w:r>
    </w:p>
    <w:p w:rsidR="00D44ECE" w:rsidRDefault="00D44ECE" w:rsidP="0050567E">
      <w:pPr>
        <w:pStyle w:val="ListParagraph"/>
        <w:numPr>
          <w:ilvl w:val="0"/>
          <w:numId w:val="3"/>
        </w:numPr>
      </w:pPr>
      <w:r>
        <w:t>All new buildings all-electric by 2026</w:t>
      </w:r>
    </w:p>
    <w:p w:rsidR="00D44ECE" w:rsidRDefault="00D44ECE" w:rsidP="0050567E">
      <w:pPr>
        <w:pStyle w:val="ListParagraph"/>
        <w:numPr>
          <w:ilvl w:val="0"/>
          <w:numId w:val="3"/>
        </w:numPr>
      </w:pPr>
      <w:r>
        <w:t>100% all-electric appliance sales by 2030</w:t>
      </w:r>
    </w:p>
    <w:p w:rsidR="00D44ECE" w:rsidRDefault="00D44ECE" w:rsidP="0050567E">
      <w:pPr>
        <w:pStyle w:val="ListParagraph"/>
        <w:numPr>
          <w:ilvl w:val="0"/>
          <w:numId w:val="3"/>
        </w:numPr>
      </w:pPr>
      <w:r>
        <w:t>All existing buildings retrofitted by 2045</w:t>
      </w:r>
    </w:p>
    <w:p w:rsidR="00D44ECE" w:rsidRDefault="00D44ECE" w:rsidP="0050567E">
      <w:pPr>
        <w:pStyle w:val="ListParagraph"/>
        <w:numPr>
          <w:ilvl w:val="0"/>
          <w:numId w:val="3"/>
        </w:numPr>
      </w:pPr>
      <w:r>
        <w:t>Focus now on strategic gas system decommissioning with proactive, progressive trimming.</w:t>
      </w:r>
    </w:p>
    <w:p w:rsidR="004006DE" w:rsidRDefault="004006DE" w:rsidP="0050567E">
      <w:pPr>
        <w:pStyle w:val="ListParagraph"/>
        <w:numPr>
          <w:ilvl w:val="0"/>
          <w:numId w:val="3"/>
        </w:numPr>
      </w:pPr>
      <w:r>
        <w:t xml:space="preserve">Decommission the entire low-pressure </w:t>
      </w:r>
      <w:r w:rsidR="0072015E">
        <w:t xml:space="preserve">fossil gas and RNG </w:t>
      </w:r>
      <w:r>
        <w:t>distribution system</w:t>
      </w:r>
      <w:r w:rsidR="0072015E">
        <w:t xml:space="preserve"> for residential and commercial. </w:t>
      </w:r>
    </w:p>
    <w:p w:rsidR="0072015E" w:rsidRDefault="0050567E" w:rsidP="004006DE">
      <w:r>
        <w:t>We recognize the legal requirements of the</w:t>
      </w:r>
      <w:r w:rsidR="0072015E">
        <w:t xml:space="preserve"> Scoping </w:t>
      </w:r>
      <w:r>
        <w:t>t</w:t>
      </w:r>
      <w:r w:rsidR="0072015E">
        <w:t>imeline</w:t>
      </w:r>
      <w:r>
        <w:t xml:space="preserve"> and public engagement process</w:t>
      </w:r>
      <w:r w:rsidR="0072015E">
        <w:t xml:space="preserve">, </w:t>
      </w:r>
      <w:r>
        <w:t xml:space="preserve">but  the oil, gas and utilities industries are displaying inordinate political influence over the legislature, </w:t>
      </w:r>
      <w:r w:rsidR="0072015E">
        <w:t xml:space="preserve">civilization </w:t>
      </w:r>
      <w:r>
        <w:t>is</w:t>
      </w:r>
      <w:r w:rsidR="0072015E">
        <w:t xml:space="preserve"> in </w:t>
      </w:r>
      <w:r>
        <w:t xml:space="preserve">seriously </w:t>
      </w:r>
      <w:r w:rsidR="0072015E">
        <w:t>dire straits</w:t>
      </w:r>
      <w:r>
        <w:t xml:space="preserve">, and mitigation is moving far too slow. </w:t>
      </w:r>
      <w:r w:rsidR="0072015E">
        <w:t xml:space="preserve">These are ‘no-brainer’ policies and programs </w:t>
      </w:r>
      <w:r>
        <w:t>obvious to all of us who bother to do the simple math on the carbon budget. You need to</w:t>
      </w:r>
      <w:r w:rsidR="0072015E">
        <w:t xml:space="preserve"> begin implementing </w:t>
      </w:r>
      <w:r>
        <w:t xml:space="preserve">these programs </w:t>
      </w:r>
      <w:r w:rsidR="0072015E">
        <w:t>now.</w:t>
      </w:r>
    </w:p>
    <w:p w:rsidR="00133EFF" w:rsidRDefault="00133EFF" w:rsidP="004006DE"/>
    <w:p w:rsidR="00133EFF" w:rsidRDefault="00133EFF" w:rsidP="004006DE">
      <w:r>
        <w:t>Yours,</w:t>
      </w:r>
    </w:p>
    <w:p w:rsidR="00133EFF" w:rsidRDefault="00133EFF" w:rsidP="00133EFF">
      <w:pPr>
        <w:spacing w:after="0"/>
      </w:pPr>
      <w:r>
        <w:t>Jan Dietrick, MPH</w:t>
      </w:r>
      <w:proofErr w:type="gramStart"/>
      <w:r>
        <w:t>,  Policy</w:t>
      </w:r>
      <w:proofErr w:type="gramEnd"/>
      <w:r>
        <w:t xml:space="preserve"> Team Leader</w:t>
      </w:r>
    </w:p>
    <w:p w:rsidR="00133EFF" w:rsidRDefault="00133EFF" w:rsidP="00133EFF">
      <w:pPr>
        <w:spacing w:after="0"/>
      </w:pPr>
      <w:r>
        <w:t xml:space="preserve">350 Ventura County Climate </w:t>
      </w:r>
      <w:proofErr w:type="gramStart"/>
      <w:r>
        <w:t>Hub</w:t>
      </w:r>
      <w:proofErr w:type="gramEnd"/>
    </w:p>
    <w:p w:rsidR="00133EFF" w:rsidRDefault="00133EFF" w:rsidP="00133EFF">
      <w:pPr>
        <w:spacing w:after="0"/>
      </w:pPr>
      <w:r>
        <w:t>Ventura, CA 93001</w:t>
      </w:r>
    </w:p>
    <w:sectPr w:rsidR="00133EFF" w:rsidSect="008E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1A21"/>
    <w:multiLevelType w:val="hybridMultilevel"/>
    <w:tmpl w:val="54CC8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13583E"/>
    <w:multiLevelType w:val="hybridMultilevel"/>
    <w:tmpl w:val="FA8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A76B1"/>
    <w:multiLevelType w:val="hybridMultilevel"/>
    <w:tmpl w:val="6C8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57667"/>
    <w:multiLevelType w:val="hybridMultilevel"/>
    <w:tmpl w:val="4C56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7DD"/>
    <w:rsid w:val="00133EFF"/>
    <w:rsid w:val="00337454"/>
    <w:rsid w:val="004006DE"/>
    <w:rsid w:val="0050567E"/>
    <w:rsid w:val="0072015E"/>
    <w:rsid w:val="008E4732"/>
    <w:rsid w:val="00B067DD"/>
    <w:rsid w:val="00D4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2021-09-04T04:57:00Z</dcterms:created>
  <dcterms:modified xsi:type="dcterms:W3CDTF">2021-09-04T05:46:00Z</dcterms:modified>
</cp:coreProperties>
</file>