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rPr>
          <w:sz w:val="25"/>
          <w:szCs w:val="25"/>
        </w:rPr>
      </w:pPr>
      <w:r>
        <w:rPr>
          <w:sz w:val="25"/>
          <w:szCs w:val="25"/>
        </w:rPr>
        <mc:AlternateContent>
          <mc:Choice Requires="wps">
            <w:drawing>
              <wp:anchor distT="57150" distB="57150" distL="57150" distR="57150" simplePos="0" relativeHeight="251660288" behindDoc="0" locked="0" layoutInCell="1" allowOverlap="1">
                <wp:simplePos x="0" y="0"/>
                <wp:positionH relativeFrom="page">
                  <wp:posOffset>1571625</wp:posOffset>
                </wp:positionH>
                <wp:positionV relativeFrom="page">
                  <wp:posOffset>619125</wp:posOffset>
                </wp:positionV>
                <wp:extent cx="1885950" cy="85725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1885950" cy="857250"/>
                        </a:xfrm>
                        <a:prstGeom prst="rect">
                          <a:avLst/>
                        </a:prstGeom>
                        <a:noFill/>
                        <a:ln w="12700" cap="flat">
                          <a:noFill/>
                          <a:miter lim="400000"/>
                        </a:ln>
                        <a:effectLst/>
                      </wps:spPr>
                      <wps:txbx>
                        <w:txbxContent>
                          <w:p>
                            <w:pPr>
                              <w:pStyle w:val="Body A"/>
                              <w:jc w:val="center"/>
                            </w:pPr>
                            <w:r>
                              <w:rPr>
                                <w:rFonts w:ascii="Perpetua Titling MT" w:cs="Perpetua Titling MT" w:hAnsi="Perpetua Titling MT" w:eastAsia="Perpetua Titling MT"/>
                                <w:color w:val="360000"/>
                                <w:sz w:val="116"/>
                                <w:szCs w:val="116"/>
                                <w:u w:color="360000"/>
                                <w:rtl w:val="0"/>
                              </w:rPr>
                              <w:t>YSS</w:t>
                            </w:r>
                            <w:r>
                              <w:rPr>
                                <w:rFonts w:ascii="Perpetua Titling MT" w:cs="Perpetua Titling MT" w:hAnsi="Perpetua Titling MT" w:eastAsia="Perpetua Titling MT"/>
                                <w:color w:val="2a0000"/>
                                <w:sz w:val="88"/>
                                <w:szCs w:val="88"/>
                                <w:u w:color="2a0000"/>
                                <w:rtl w:val="0"/>
                              </w:rPr>
                              <w:t xml:space="preserve"> **LEFT/RIGHT - FULL CREW</w:t>
                            </w:r>
                          </w:p>
                        </w:txbxContent>
                      </wps:txbx>
                      <wps:bodyPr wrap="square" lIns="36576" tIns="36576" rIns="36576" bIns="36576" numCol="1" anchor="t">
                        <a:noAutofit/>
                      </wps:bodyPr>
                    </wps:wsp>
                  </a:graphicData>
                </a:graphic>
              </wp:anchor>
            </w:drawing>
          </mc:Choice>
          <mc:Fallback>
            <w:pict>
              <v:rect id="_x0000_s1026" style="visibility:visible;position:absolute;margin-left:123.8pt;margin-top:48.8pt;width:148.5pt;height:67.5pt;z-index:251660288;mso-position-horizontal:absolute;mso-position-horizontal-relative:page;mso-position-vertical:absolute;mso-position-vertical-relative:page;mso-wrap-distance-left:4.5pt;mso-wrap-distance-top:4.5pt;mso-wrap-distance-right:4.5pt;mso-wrap-distance-bottom:4.5pt;">
                <v:fill on="f"/>
                <v:stroke on="f" weight="1.0pt" dashstyle="solid" endcap="flat" miterlimit="400.0%" joinstyle="miter" linestyle="single" startarrow="none" startarrowwidth="medium" startarrowlength="medium" endarrow="none" endarrowwidth="medium" endarrowlength="medium"/>
                <v:textbox>
                  <w:txbxContent>
                    <w:p>
                      <w:pPr>
                        <w:pStyle w:val="Body A"/>
                        <w:jc w:val="center"/>
                      </w:pPr>
                      <w:r>
                        <w:rPr>
                          <w:rFonts w:ascii="Perpetua Titling MT" w:cs="Perpetua Titling MT" w:hAnsi="Perpetua Titling MT" w:eastAsia="Perpetua Titling MT"/>
                          <w:color w:val="360000"/>
                          <w:sz w:val="116"/>
                          <w:szCs w:val="116"/>
                          <w:u w:color="360000"/>
                          <w:rtl w:val="0"/>
                        </w:rPr>
                        <w:t>YSS</w:t>
                      </w:r>
                      <w:r>
                        <w:rPr>
                          <w:rFonts w:ascii="Perpetua Titling MT" w:cs="Perpetua Titling MT" w:hAnsi="Perpetua Titling MT" w:eastAsia="Perpetua Titling MT"/>
                          <w:color w:val="2a0000"/>
                          <w:sz w:val="88"/>
                          <w:szCs w:val="88"/>
                          <w:u w:color="2a0000"/>
                          <w:rtl w:val="0"/>
                        </w:rPr>
                        <w:t xml:space="preserve"> **LEFT/RIGHT - FULL CREW</w:t>
                      </w:r>
                    </w:p>
                  </w:txbxContent>
                </v:textbox>
                <w10:wrap type="none" side="bothSides" anchorx="page" anchory="page"/>
              </v:rect>
            </w:pict>
          </mc:Fallback>
        </mc:AlternateContent>
      </w:r>
      <w:r>
        <w:rPr>
          <w:sz w:val="25"/>
          <w:szCs w:val="25"/>
        </w:rPr>
        <mc:AlternateContent>
          <mc:Choice Requires="wpg">
            <w:drawing>
              <wp:anchor distT="152400" distB="152400" distL="152400" distR="152400" simplePos="0" relativeHeight="251662336" behindDoc="0" locked="0" layoutInCell="1" allowOverlap="1">
                <wp:simplePos x="0" y="0"/>
                <wp:positionH relativeFrom="column">
                  <wp:posOffset>-41921</wp:posOffset>
                </wp:positionH>
                <wp:positionV relativeFrom="line">
                  <wp:posOffset>172166</wp:posOffset>
                </wp:positionV>
                <wp:extent cx="603949" cy="685824"/>
                <wp:effectExtent l="0" t="0" r="0" b="0"/>
                <wp:wrapThrough wrapText="bothSides" distL="152400" distR="152400">
                  <wp:wrapPolygon edited="1">
                    <wp:start x="0" y="0"/>
                    <wp:lineTo x="21600" y="0"/>
                    <wp:lineTo x="21600" y="21600"/>
                    <wp:lineTo x="0" y="21600"/>
                    <wp:lineTo x="0" y="0"/>
                  </wp:wrapPolygon>
                </wp:wrapThrough>
                <wp:docPr id="1073741845" name="officeArt object"/>
                <wp:cNvGraphicFramePr/>
                <a:graphic xmlns:a="http://schemas.openxmlformats.org/drawingml/2006/main">
                  <a:graphicData uri="http://schemas.microsoft.com/office/word/2010/wordprocessingGroup">
                    <wpg:wgp>
                      <wpg:cNvGrpSpPr/>
                      <wpg:grpSpPr>
                        <a:xfrm>
                          <a:off x="0" y="0"/>
                          <a:ext cx="603949" cy="685824"/>
                          <a:chOff x="-1" y="-1"/>
                          <a:chExt cx="603948" cy="685823"/>
                        </a:xfrm>
                      </wpg:grpSpPr>
                      <wps:wsp>
                        <wps:cNvPr id="1073741826" name="Shape 1073741826"/>
                        <wps:cNvSpPr/>
                        <wps:spPr>
                          <a:xfrm>
                            <a:off x="335923" y="529612"/>
                            <a:ext cx="58409" cy="49507"/>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21600" y="14123"/>
                                </a:moveTo>
                                <a:lnTo>
                                  <a:pt x="5635" y="21600"/>
                                </a:lnTo>
                                <a:lnTo>
                                  <a:pt x="0" y="3046"/>
                                </a:lnTo>
                                <a:lnTo>
                                  <a:pt x="13617" y="0"/>
                                </a:lnTo>
                                <a:lnTo>
                                  <a:pt x="14557" y="1662"/>
                                </a:lnTo>
                                <a:lnTo>
                                  <a:pt x="15496" y="3600"/>
                                </a:lnTo>
                                <a:lnTo>
                                  <a:pt x="16435" y="5262"/>
                                </a:lnTo>
                                <a:lnTo>
                                  <a:pt x="17609" y="7200"/>
                                </a:lnTo>
                                <a:lnTo>
                                  <a:pt x="19487" y="10523"/>
                                </a:lnTo>
                                <a:lnTo>
                                  <a:pt x="20661" y="12185"/>
                                </a:lnTo>
                                <a:lnTo>
                                  <a:pt x="21600" y="14123"/>
                                </a:lnTo>
                                <a:close/>
                              </a:path>
                            </a:pathLst>
                          </a:custGeom>
                          <a:solidFill>
                            <a:srgbClr val="000000"/>
                          </a:solidFill>
                          <a:ln w="12700" cap="flat">
                            <a:noFill/>
                            <a:miter lim="400000"/>
                          </a:ln>
                          <a:effectLst/>
                        </wps:spPr>
                        <wps:bodyPr/>
                      </wps:wsp>
                      <wps:wsp>
                        <wps:cNvPr id="1073741827" name="Shape 1073741827"/>
                        <wps:cNvSpPr/>
                        <wps:spPr>
                          <a:xfrm>
                            <a:off x="387327" y="512412"/>
                            <a:ext cx="37507" cy="36806"/>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0" y="7076"/>
                                </a:moveTo>
                                <a:lnTo>
                                  <a:pt x="8054" y="4097"/>
                                </a:lnTo>
                                <a:lnTo>
                                  <a:pt x="10983" y="2607"/>
                                </a:lnTo>
                                <a:lnTo>
                                  <a:pt x="13912" y="1490"/>
                                </a:lnTo>
                                <a:lnTo>
                                  <a:pt x="16108" y="1117"/>
                                </a:lnTo>
                                <a:lnTo>
                                  <a:pt x="18671" y="372"/>
                                </a:lnTo>
                                <a:lnTo>
                                  <a:pt x="20136" y="0"/>
                                </a:lnTo>
                                <a:lnTo>
                                  <a:pt x="21600" y="0"/>
                                </a:lnTo>
                                <a:lnTo>
                                  <a:pt x="9153" y="21600"/>
                                </a:lnTo>
                                <a:lnTo>
                                  <a:pt x="7322" y="18993"/>
                                </a:lnTo>
                                <a:lnTo>
                                  <a:pt x="4027" y="14524"/>
                                </a:lnTo>
                                <a:lnTo>
                                  <a:pt x="1098" y="10055"/>
                                </a:lnTo>
                                <a:lnTo>
                                  <a:pt x="0" y="7076"/>
                                </a:lnTo>
                                <a:close/>
                              </a:path>
                            </a:pathLst>
                          </a:custGeom>
                          <a:solidFill>
                            <a:srgbClr val="000000"/>
                          </a:solidFill>
                          <a:ln w="12700" cap="flat">
                            <a:noFill/>
                            <a:miter lim="400000"/>
                          </a:ln>
                          <a:effectLst/>
                        </wps:spPr>
                        <wps:bodyPr/>
                      </wps:wsp>
                      <wps:wsp>
                        <wps:cNvPr id="1073741828" name="Shape 1073741828"/>
                        <wps:cNvSpPr/>
                        <wps:spPr>
                          <a:xfrm>
                            <a:off x="370826" y="473011"/>
                            <a:ext cx="71110" cy="39406"/>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3279" y="21600"/>
                                </a:moveTo>
                                <a:lnTo>
                                  <a:pt x="0" y="5226"/>
                                </a:lnTo>
                                <a:lnTo>
                                  <a:pt x="4436" y="3484"/>
                                </a:lnTo>
                                <a:lnTo>
                                  <a:pt x="7521" y="2090"/>
                                </a:lnTo>
                                <a:lnTo>
                                  <a:pt x="9836" y="697"/>
                                </a:lnTo>
                                <a:lnTo>
                                  <a:pt x="11571" y="0"/>
                                </a:lnTo>
                                <a:lnTo>
                                  <a:pt x="13114" y="0"/>
                                </a:lnTo>
                                <a:lnTo>
                                  <a:pt x="15043" y="1045"/>
                                </a:lnTo>
                                <a:lnTo>
                                  <a:pt x="17743" y="3484"/>
                                </a:lnTo>
                                <a:lnTo>
                                  <a:pt x="21600" y="7316"/>
                                </a:lnTo>
                                <a:lnTo>
                                  <a:pt x="19286" y="9406"/>
                                </a:lnTo>
                                <a:lnTo>
                                  <a:pt x="17164" y="11497"/>
                                </a:lnTo>
                                <a:lnTo>
                                  <a:pt x="12536" y="14981"/>
                                </a:lnTo>
                                <a:lnTo>
                                  <a:pt x="10221" y="17071"/>
                                </a:lnTo>
                                <a:lnTo>
                                  <a:pt x="5593" y="19858"/>
                                </a:lnTo>
                                <a:lnTo>
                                  <a:pt x="3279" y="21600"/>
                                </a:lnTo>
                                <a:close/>
                              </a:path>
                            </a:pathLst>
                          </a:custGeom>
                          <a:solidFill>
                            <a:srgbClr val="000000"/>
                          </a:solidFill>
                          <a:ln w="12700" cap="flat">
                            <a:noFill/>
                            <a:miter lim="400000"/>
                          </a:ln>
                          <a:effectLst/>
                        </wps:spPr>
                        <wps:bodyPr/>
                      </wps:wsp>
                      <wps:wsp>
                        <wps:cNvPr id="1073741829" name="Shape 1073741829"/>
                        <wps:cNvSpPr/>
                        <wps:spPr>
                          <a:xfrm>
                            <a:off x="433730" y="455311"/>
                            <a:ext cx="18406" cy="16505"/>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14897" y="21600"/>
                                </a:moveTo>
                                <a:lnTo>
                                  <a:pt x="0" y="9969"/>
                                </a:lnTo>
                                <a:lnTo>
                                  <a:pt x="21600" y="0"/>
                                </a:lnTo>
                                <a:lnTo>
                                  <a:pt x="14897" y="21600"/>
                                </a:lnTo>
                                <a:close/>
                              </a:path>
                            </a:pathLst>
                          </a:custGeom>
                          <a:solidFill>
                            <a:srgbClr val="000000"/>
                          </a:solidFill>
                          <a:ln w="12700" cap="flat">
                            <a:noFill/>
                            <a:miter lim="400000"/>
                          </a:ln>
                          <a:effectLst/>
                        </wps:spPr>
                        <wps:bodyPr/>
                      </wps:wsp>
                      <wps:wsp>
                        <wps:cNvPr id="1073741830" name="Shape 1073741830"/>
                        <wps:cNvSpPr/>
                        <wps:spPr>
                          <a:xfrm>
                            <a:off x="397527" y="397509"/>
                            <a:ext cx="70510" cy="54607"/>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13816" y="4019"/>
                                </a:moveTo>
                                <a:lnTo>
                                  <a:pt x="16735" y="7284"/>
                                </a:lnTo>
                                <a:lnTo>
                                  <a:pt x="17903" y="6781"/>
                                </a:lnTo>
                                <a:lnTo>
                                  <a:pt x="19070" y="6028"/>
                                </a:lnTo>
                                <a:lnTo>
                                  <a:pt x="20043" y="5274"/>
                                </a:lnTo>
                                <a:lnTo>
                                  <a:pt x="20822" y="4019"/>
                                </a:lnTo>
                                <a:lnTo>
                                  <a:pt x="18292" y="1507"/>
                                </a:lnTo>
                                <a:lnTo>
                                  <a:pt x="21600" y="0"/>
                                </a:lnTo>
                                <a:lnTo>
                                  <a:pt x="19849" y="13060"/>
                                </a:lnTo>
                                <a:lnTo>
                                  <a:pt x="7395" y="21600"/>
                                </a:lnTo>
                                <a:lnTo>
                                  <a:pt x="6616" y="20093"/>
                                </a:lnTo>
                                <a:lnTo>
                                  <a:pt x="5838" y="18837"/>
                                </a:lnTo>
                                <a:lnTo>
                                  <a:pt x="4865" y="17079"/>
                                </a:lnTo>
                                <a:lnTo>
                                  <a:pt x="3892" y="15572"/>
                                </a:lnTo>
                                <a:lnTo>
                                  <a:pt x="2919" y="13563"/>
                                </a:lnTo>
                                <a:lnTo>
                                  <a:pt x="1946" y="11805"/>
                                </a:lnTo>
                                <a:lnTo>
                                  <a:pt x="1168" y="9544"/>
                                </a:lnTo>
                                <a:lnTo>
                                  <a:pt x="0" y="7284"/>
                                </a:lnTo>
                                <a:lnTo>
                                  <a:pt x="13816" y="4019"/>
                                </a:lnTo>
                                <a:close/>
                              </a:path>
                            </a:pathLst>
                          </a:custGeom>
                          <a:solidFill>
                            <a:srgbClr val="000000"/>
                          </a:solidFill>
                          <a:ln w="12700" cap="flat">
                            <a:noFill/>
                            <a:miter lim="400000"/>
                          </a:ln>
                          <a:effectLst/>
                        </wps:spPr>
                        <wps:bodyPr/>
                      </wps:wsp>
                      <wps:wsp>
                        <wps:cNvPr id="1073741831" name="Shape 1073741831"/>
                        <wps:cNvSpPr/>
                        <wps:spPr>
                          <a:xfrm>
                            <a:off x="379126" y="366408"/>
                            <a:ext cx="51409" cy="36206"/>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21600" y="17432"/>
                                </a:moveTo>
                                <a:lnTo>
                                  <a:pt x="5600" y="21600"/>
                                </a:lnTo>
                                <a:lnTo>
                                  <a:pt x="4000" y="18189"/>
                                </a:lnTo>
                                <a:lnTo>
                                  <a:pt x="1333" y="9095"/>
                                </a:lnTo>
                                <a:lnTo>
                                  <a:pt x="0" y="3789"/>
                                </a:lnTo>
                                <a:lnTo>
                                  <a:pt x="14933" y="0"/>
                                </a:lnTo>
                                <a:lnTo>
                                  <a:pt x="21600" y="17432"/>
                                </a:lnTo>
                                <a:close/>
                              </a:path>
                            </a:pathLst>
                          </a:custGeom>
                          <a:solidFill>
                            <a:srgbClr val="000000"/>
                          </a:solidFill>
                          <a:ln w="12700" cap="flat">
                            <a:noFill/>
                            <a:miter lim="400000"/>
                          </a:ln>
                          <a:effectLst/>
                        </wps:spPr>
                        <wps:bodyPr/>
                      </wps:wsp>
                      <wps:wsp>
                        <wps:cNvPr id="1073741832" name="Shape 1073741832"/>
                        <wps:cNvSpPr/>
                        <wps:spPr>
                          <a:xfrm>
                            <a:off x="430530" y="353708"/>
                            <a:ext cx="38107" cy="33606"/>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0" y="6521"/>
                                </a:moveTo>
                                <a:lnTo>
                                  <a:pt x="17640" y="0"/>
                                </a:lnTo>
                                <a:lnTo>
                                  <a:pt x="18720" y="4483"/>
                                </a:lnTo>
                                <a:lnTo>
                                  <a:pt x="19800" y="9374"/>
                                </a:lnTo>
                                <a:lnTo>
                                  <a:pt x="20880" y="13449"/>
                                </a:lnTo>
                                <a:lnTo>
                                  <a:pt x="21600" y="17932"/>
                                </a:lnTo>
                                <a:lnTo>
                                  <a:pt x="17280" y="18340"/>
                                </a:lnTo>
                                <a:lnTo>
                                  <a:pt x="13680" y="19970"/>
                                </a:lnTo>
                                <a:lnTo>
                                  <a:pt x="9360" y="21600"/>
                                </a:lnTo>
                                <a:lnTo>
                                  <a:pt x="7920" y="20785"/>
                                </a:lnTo>
                                <a:lnTo>
                                  <a:pt x="5760" y="18340"/>
                                </a:lnTo>
                                <a:lnTo>
                                  <a:pt x="3240" y="14264"/>
                                </a:lnTo>
                                <a:lnTo>
                                  <a:pt x="0" y="6521"/>
                                </a:lnTo>
                                <a:close/>
                              </a:path>
                            </a:pathLst>
                          </a:custGeom>
                          <a:solidFill>
                            <a:srgbClr val="000000"/>
                          </a:solidFill>
                          <a:ln w="12700" cap="flat">
                            <a:noFill/>
                            <a:miter lim="400000"/>
                          </a:ln>
                          <a:effectLst/>
                        </wps:spPr>
                        <wps:bodyPr/>
                      </wps:wsp>
                      <wps:wsp>
                        <wps:cNvPr id="1073741833" name="Shape 1073741833"/>
                        <wps:cNvSpPr/>
                        <wps:spPr>
                          <a:xfrm>
                            <a:off x="102807" y="549213"/>
                            <a:ext cx="41908" cy="40706"/>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21600" y="21600"/>
                                </a:moveTo>
                                <a:lnTo>
                                  <a:pt x="7200" y="21262"/>
                                </a:lnTo>
                                <a:lnTo>
                                  <a:pt x="0" y="0"/>
                                </a:lnTo>
                                <a:lnTo>
                                  <a:pt x="12436" y="0"/>
                                </a:lnTo>
                                <a:lnTo>
                                  <a:pt x="21600" y="21600"/>
                                </a:lnTo>
                                <a:close/>
                              </a:path>
                            </a:pathLst>
                          </a:custGeom>
                          <a:solidFill>
                            <a:srgbClr val="000000"/>
                          </a:solidFill>
                          <a:ln w="12700" cap="flat">
                            <a:noFill/>
                            <a:miter lim="400000"/>
                          </a:ln>
                          <a:effectLst/>
                        </wps:spPr>
                        <wps:bodyPr/>
                      </wps:wsp>
                      <wps:wsp>
                        <wps:cNvPr id="1073741834" name="Shape 1073741834"/>
                        <wps:cNvSpPr/>
                        <wps:spPr>
                          <a:xfrm>
                            <a:off x="144710" y="545413"/>
                            <a:ext cx="57809" cy="41306"/>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14954" y="0"/>
                                </a:moveTo>
                                <a:lnTo>
                                  <a:pt x="21600" y="17280"/>
                                </a:lnTo>
                                <a:lnTo>
                                  <a:pt x="19464" y="17945"/>
                                </a:lnTo>
                                <a:lnTo>
                                  <a:pt x="17327" y="18942"/>
                                </a:lnTo>
                                <a:lnTo>
                                  <a:pt x="15191" y="19606"/>
                                </a:lnTo>
                                <a:lnTo>
                                  <a:pt x="13292" y="19938"/>
                                </a:lnTo>
                                <a:lnTo>
                                  <a:pt x="9495" y="21268"/>
                                </a:lnTo>
                                <a:lnTo>
                                  <a:pt x="7596" y="21268"/>
                                </a:lnTo>
                                <a:lnTo>
                                  <a:pt x="5934" y="21600"/>
                                </a:lnTo>
                                <a:lnTo>
                                  <a:pt x="0" y="1994"/>
                                </a:lnTo>
                                <a:lnTo>
                                  <a:pt x="14954" y="0"/>
                                </a:lnTo>
                                <a:close/>
                              </a:path>
                            </a:pathLst>
                          </a:custGeom>
                          <a:solidFill>
                            <a:srgbClr val="000000"/>
                          </a:solidFill>
                          <a:ln w="12700" cap="flat">
                            <a:noFill/>
                            <a:miter lim="400000"/>
                          </a:ln>
                          <a:effectLst/>
                        </wps:spPr>
                        <wps:bodyPr/>
                      </wps:wsp>
                      <wps:wsp>
                        <wps:cNvPr id="1073741835" name="Shape 1073741835"/>
                        <wps:cNvSpPr/>
                        <wps:spPr>
                          <a:xfrm>
                            <a:off x="128209" y="494612"/>
                            <a:ext cx="48308" cy="41906"/>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5116" y="21600"/>
                                </a:moveTo>
                                <a:lnTo>
                                  <a:pt x="0" y="0"/>
                                </a:lnTo>
                                <a:lnTo>
                                  <a:pt x="15347" y="0"/>
                                </a:lnTo>
                                <a:lnTo>
                                  <a:pt x="21600" y="19309"/>
                                </a:lnTo>
                                <a:lnTo>
                                  <a:pt x="5116" y="21600"/>
                                </a:lnTo>
                                <a:close/>
                              </a:path>
                            </a:pathLst>
                          </a:custGeom>
                          <a:solidFill>
                            <a:srgbClr val="000000"/>
                          </a:solidFill>
                          <a:ln w="12700" cap="flat">
                            <a:noFill/>
                            <a:miter lim="400000"/>
                          </a:ln>
                          <a:effectLst/>
                        </wps:spPr>
                        <wps:bodyPr/>
                      </wps:wsp>
                      <wps:wsp>
                        <wps:cNvPr id="1073741836" name="Shape 1073741836"/>
                        <wps:cNvSpPr/>
                        <wps:spPr>
                          <a:xfrm>
                            <a:off x="178412" y="486411"/>
                            <a:ext cx="62909" cy="42506"/>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5236" y="21278"/>
                                </a:moveTo>
                                <a:lnTo>
                                  <a:pt x="0" y="2257"/>
                                </a:lnTo>
                                <a:lnTo>
                                  <a:pt x="15491" y="0"/>
                                </a:lnTo>
                                <a:lnTo>
                                  <a:pt x="21600" y="14507"/>
                                </a:lnTo>
                                <a:lnTo>
                                  <a:pt x="19855" y="15152"/>
                                </a:lnTo>
                                <a:lnTo>
                                  <a:pt x="18109" y="16442"/>
                                </a:lnTo>
                                <a:lnTo>
                                  <a:pt x="16364" y="17087"/>
                                </a:lnTo>
                                <a:lnTo>
                                  <a:pt x="14400" y="18054"/>
                                </a:lnTo>
                                <a:lnTo>
                                  <a:pt x="12218" y="18699"/>
                                </a:lnTo>
                                <a:lnTo>
                                  <a:pt x="10036" y="19666"/>
                                </a:lnTo>
                                <a:lnTo>
                                  <a:pt x="7636" y="20310"/>
                                </a:lnTo>
                                <a:lnTo>
                                  <a:pt x="5236" y="21600"/>
                                </a:lnTo>
                                <a:lnTo>
                                  <a:pt x="5236" y="21278"/>
                                </a:lnTo>
                                <a:close/>
                              </a:path>
                            </a:pathLst>
                          </a:custGeom>
                          <a:solidFill>
                            <a:srgbClr val="000000"/>
                          </a:solidFill>
                          <a:ln w="12700" cap="flat">
                            <a:noFill/>
                            <a:miter lim="400000"/>
                          </a:ln>
                          <a:effectLst/>
                        </wps:spPr>
                        <wps:bodyPr/>
                      </wps:wsp>
                      <wps:wsp>
                        <wps:cNvPr id="1073741837" name="Shape 1073741837"/>
                        <wps:cNvSpPr/>
                        <wps:spPr>
                          <a:xfrm>
                            <a:off x="164411" y="441310"/>
                            <a:ext cx="55309" cy="36206"/>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7697" y="21600"/>
                                </a:moveTo>
                                <a:lnTo>
                                  <a:pt x="4221" y="21600"/>
                                </a:lnTo>
                                <a:lnTo>
                                  <a:pt x="0" y="0"/>
                                </a:lnTo>
                                <a:lnTo>
                                  <a:pt x="14897" y="0"/>
                                </a:lnTo>
                                <a:lnTo>
                                  <a:pt x="21600" y="19326"/>
                                </a:lnTo>
                                <a:lnTo>
                                  <a:pt x="7697" y="21600"/>
                                </a:lnTo>
                                <a:close/>
                              </a:path>
                            </a:pathLst>
                          </a:custGeom>
                          <a:solidFill>
                            <a:srgbClr val="000000"/>
                          </a:solidFill>
                          <a:ln w="12700" cap="flat">
                            <a:noFill/>
                            <a:miter lim="400000"/>
                          </a:ln>
                          <a:effectLst/>
                        </wps:spPr>
                        <wps:bodyPr/>
                      </wps:wsp>
                      <wps:wsp>
                        <wps:cNvPr id="1073741838" name="Shape 1073741838"/>
                        <wps:cNvSpPr/>
                        <wps:spPr>
                          <a:xfrm>
                            <a:off x="219715" y="435610"/>
                            <a:ext cx="53309" cy="36206"/>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0" y="3411"/>
                                </a:moveTo>
                                <a:lnTo>
                                  <a:pt x="5657" y="1895"/>
                                </a:lnTo>
                                <a:lnTo>
                                  <a:pt x="9514" y="758"/>
                                </a:lnTo>
                                <a:lnTo>
                                  <a:pt x="12343" y="0"/>
                                </a:lnTo>
                                <a:lnTo>
                                  <a:pt x="14143" y="379"/>
                                </a:lnTo>
                                <a:lnTo>
                                  <a:pt x="15686" y="1895"/>
                                </a:lnTo>
                                <a:lnTo>
                                  <a:pt x="17229" y="4926"/>
                                </a:lnTo>
                                <a:lnTo>
                                  <a:pt x="19029" y="9853"/>
                                </a:lnTo>
                                <a:lnTo>
                                  <a:pt x="21600" y="16295"/>
                                </a:lnTo>
                                <a:lnTo>
                                  <a:pt x="20314" y="17053"/>
                                </a:lnTo>
                                <a:lnTo>
                                  <a:pt x="18257" y="17811"/>
                                </a:lnTo>
                                <a:lnTo>
                                  <a:pt x="16457" y="18568"/>
                                </a:lnTo>
                                <a:lnTo>
                                  <a:pt x="14143" y="19705"/>
                                </a:lnTo>
                                <a:lnTo>
                                  <a:pt x="10029" y="20463"/>
                                </a:lnTo>
                                <a:lnTo>
                                  <a:pt x="7714" y="21221"/>
                                </a:lnTo>
                                <a:lnTo>
                                  <a:pt x="6171" y="21600"/>
                                </a:lnTo>
                                <a:lnTo>
                                  <a:pt x="0" y="3411"/>
                                </a:lnTo>
                                <a:close/>
                              </a:path>
                            </a:pathLst>
                          </a:custGeom>
                          <a:gradFill flip="none" rotWithShape="1">
                            <a:gsLst>
                              <a:gs pos="0">
                                <a:srgbClr val="A7A899">
                                  <a:alpha val="61175"/>
                                </a:srgbClr>
                              </a:gs>
                              <a:gs pos="58999">
                                <a:srgbClr val="B1C3C0">
                                  <a:alpha val="84081"/>
                                </a:srgbClr>
                              </a:gs>
                              <a:gs pos="100000">
                                <a:srgbClr val="B1C3C0"/>
                              </a:gs>
                            </a:gsLst>
                            <a:lin ang="16200000" scaled="0"/>
                          </a:gradFill>
                          <a:ln w="12700" cap="flat">
                            <a:noFill/>
                            <a:miter lim="400000"/>
                          </a:ln>
                          <a:effectLst/>
                        </wps:spPr>
                        <wps:bodyPr/>
                      </wps:wsp>
                      <wps:wsp>
                        <wps:cNvPr id="1073741839" name="Shape 1073741839"/>
                        <wps:cNvSpPr/>
                        <wps:spPr>
                          <a:xfrm>
                            <a:off x="205114" y="393009"/>
                            <a:ext cx="46308" cy="34306"/>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4142" y="21600"/>
                                </a:moveTo>
                                <a:lnTo>
                                  <a:pt x="0" y="1600"/>
                                </a:lnTo>
                                <a:lnTo>
                                  <a:pt x="16866" y="0"/>
                                </a:lnTo>
                                <a:lnTo>
                                  <a:pt x="21600" y="17200"/>
                                </a:lnTo>
                                <a:lnTo>
                                  <a:pt x="4142" y="21600"/>
                                </a:lnTo>
                                <a:close/>
                              </a:path>
                            </a:pathLst>
                          </a:custGeom>
                          <a:solidFill>
                            <a:srgbClr val="000000"/>
                          </a:solidFill>
                          <a:ln w="12700" cap="flat">
                            <a:noFill/>
                            <a:miter lim="400000"/>
                          </a:ln>
                          <a:effectLst/>
                        </wps:spPr>
                        <wps:bodyPr/>
                      </wps:wsp>
                      <wps:wsp>
                        <wps:cNvPr id="1073741840" name="Shape 1073741840"/>
                        <wps:cNvSpPr/>
                        <wps:spPr>
                          <a:xfrm>
                            <a:off x="66604" y="290207"/>
                            <a:ext cx="254023" cy="395616"/>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14310" y="15602"/>
                                </a:moveTo>
                                <a:lnTo>
                                  <a:pt x="13554" y="16261"/>
                                </a:lnTo>
                                <a:lnTo>
                                  <a:pt x="12582" y="16919"/>
                                </a:lnTo>
                                <a:lnTo>
                                  <a:pt x="11610" y="17682"/>
                                </a:lnTo>
                                <a:lnTo>
                                  <a:pt x="10476" y="18480"/>
                                </a:lnTo>
                                <a:lnTo>
                                  <a:pt x="9342" y="19208"/>
                                </a:lnTo>
                                <a:lnTo>
                                  <a:pt x="8154" y="19901"/>
                                </a:lnTo>
                                <a:lnTo>
                                  <a:pt x="6912" y="20525"/>
                                </a:lnTo>
                                <a:lnTo>
                                  <a:pt x="5778" y="21045"/>
                                </a:lnTo>
                                <a:lnTo>
                                  <a:pt x="4590" y="21427"/>
                                </a:lnTo>
                                <a:lnTo>
                                  <a:pt x="3564" y="21600"/>
                                </a:lnTo>
                                <a:lnTo>
                                  <a:pt x="2538" y="21600"/>
                                </a:lnTo>
                                <a:lnTo>
                                  <a:pt x="1674" y="21392"/>
                                </a:lnTo>
                                <a:lnTo>
                                  <a:pt x="972" y="20872"/>
                                </a:lnTo>
                                <a:lnTo>
                                  <a:pt x="432" y="20040"/>
                                </a:lnTo>
                                <a:lnTo>
                                  <a:pt x="108" y="18930"/>
                                </a:lnTo>
                                <a:lnTo>
                                  <a:pt x="0" y="17405"/>
                                </a:lnTo>
                                <a:lnTo>
                                  <a:pt x="54" y="16330"/>
                                </a:lnTo>
                                <a:lnTo>
                                  <a:pt x="270" y="15186"/>
                                </a:lnTo>
                                <a:lnTo>
                                  <a:pt x="648" y="14007"/>
                                </a:lnTo>
                                <a:lnTo>
                                  <a:pt x="1080" y="12759"/>
                                </a:lnTo>
                                <a:lnTo>
                                  <a:pt x="1674" y="11476"/>
                                </a:lnTo>
                                <a:lnTo>
                                  <a:pt x="2430" y="10228"/>
                                </a:lnTo>
                                <a:lnTo>
                                  <a:pt x="3240" y="8980"/>
                                </a:lnTo>
                                <a:lnTo>
                                  <a:pt x="4266" y="7766"/>
                                </a:lnTo>
                                <a:lnTo>
                                  <a:pt x="5292" y="6622"/>
                                </a:lnTo>
                                <a:lnTo>
                                  <a:pt x="6480" y="5513"/>
                                </a:lnTo>
                                <a:lnTo>
                                  <a:pt x="7776" y="4507"/>
                                </a:lnTo>
                                <a:lnTo>
                                  <a:pt x="9180" y="3606"/>
                                </a:lnTo>
                                <a:lnTo>
                                  <a:pt x="10638" y="2878"/>
                                </a:lnTo>
                                <a:lnTo>
                                  <a:pt x="12204" y="2219"/>
                                </a:lnTo>
                                <a:lnTo>
                                  <a:pt x="13824" y="1768"/>
                                </a:lnTo>
                                <a:lnTo>
                                  <a:pt x="15606" y="1491"/>
                                </a:lnTo>
                                <a:lnTo>
                                  <a:pt x="15984" y="1422"/>
                                </a:lnTo>
                                <a:lnTo>
                                  <a:pt x="16578" y="1352"/>
                                </a:lnTo>
                                <a:lnTo>
                                  <a:pt x="17172" y="1248"/>
                                </a:lnTo>
                                <a:lnTo>
                                  <a:pt x="17874" y="1109"/>
                                </a:lnTo>
                                <a:lnTo>
                                  <a:pt x="18468" y="901"/>
                                </a:lnTo>
                                <a:lnTo>
                                  <a:pt x="18954" y="693"/>
                                </a:lnTo>
                                <a:lnTo>
                                  <a:pt x="19332" y="416"/>
                                </a:lnTo>
                                <a:lnTo>
                                  <a:pt x="19440" y="104"/>
                                </a:lnTo>
                                <a:lnTo>
                                  <a:pt x="21600" y="0"/>
                                </a:lnTo>
                                <a:lnTo>
                                  <a:pt x="21006" y="1491"/>
                                </a:lnTo>
                                <a:lnTo>
                                  <a:pt x="21060" y="2531"/>
                                </a:lnTo>
                                <a:lnTo>
                                  <a:pt x="21438" y="3571"/>
                                </a:lnTo>
                                <a:lnTo>
                                  <a:pt x="21600" y="5027"/>
                                </a:lnTo>
                                <a:lnTo>
                                  <a:pt x="21492" y="6171"/>
                                </a:lnTo>
                                <a:lnTo>
                                  <a:pt x="21114" y="7350"/>
                                </a:lnTo>
                                <a:lnTo>
                                  <a:pt x="20628" y="8598"/>
                                </a:lnTo>
                                <a:lnTo>
                                  <a:pt x="19818" y="9916"/>
                                </a:lnTo>
                                <a:lnTo>
                                  <a:pt x="18738" y="11268"/>
                                </a:lnTo>
                                <a:lnTo>
                                  <a:pt x="17496" y="12655"/>
                                </a:lnTo>
                                <a:lnTo>
                                  <a:pt x="15984" y="14111"/>
                                </a:lnTo>
                                <a:lnTo>
                                  <a:pt x="14310" y="15602"/>
                                </a:lnTo>
                                <a:lnTo>
                                  <a:pt x="13014" y="15775"/>
                                </a:lnTo>
                                <a:lnTo>
                                  <a:pt x="11556" y="13764"/>
                                </a:lnTo>
                                <a:lnTo>
                                  <a:pt x="12096" y="13695"/>
                                </a:lnTo>
                                <a:lnTo>
                                  <a:pt x="12744" y="13591"/>
                                </a:lnTo>
                                <a:lnTo>
                                  <a:pt x="13500" y="13452"/>
                                </a:lnTo>
                                <a:lnTo>
                                  <a:pt x="14310" y="13279"/>
                                </a:lnTo>
                                <a:lnTo>
                                  <a:pt x="15066" y="13140"/>
                                </a:lnTo>
                                <a:lnTo>
                                  <a:pt x="15714" y="12967"/>
                                </a:lnTo>
                                <a:lnTo>
                                  <a:pt x="16254" y="12724"/>
                                </a:lnTo>
                                <a:lnTo>
                                  <a:pt x="16578" y="12516"/>
                                </a:lnTo>
                                <a:lnTo>
                                  <a:pt x="16362" y="12204"/>
                                </a:lnTo>
                                <a:lnTo>
                                  <a:pt x="16092" y="11892"/>
                                </a:lnTo>
                                <a:lnTo>
                                  <a:pt x="15876" y="11649"/>
                                </a:lnTo>
                                <a:lnTo>
                                  <a:pt x="15660" y="11372"/>
                                </a:lnTo>
                                <a:lnTo>
                                  <a:pt x="15390" y="11199"/>
                                </a:lnTo>
                                <a:lnTo>
                                  <a:pt x="15174" y="10956"/>
                                </a:lnTo>
                                <a:lnTo>
                                  <a:pt x="14958" y="10783"/>
                                </a:lnTo>
                                <a:lnTo>
                                  <a:pt x="14688" y="10644"/>
                                </a:lnTo>
                                <a:lnTo>
                                  <a:pt x="16254" y="10505"/>
                                </a:lnTo>
                                <a:lnTo>
                                  <a:pt x="17442" y="10401"/>
                                </a:lnTo>
                                <a:lnTo>
                                  <a:pt x="18306" y="10228"/>
                                </a:lnTo>
                                <a:lnTo>
                                  <a:pt x="18846" y="9951"/>
                                </a:lnTo>
                                <a:lnTo>
                                  <a:pt x="19008" y="9604"/>
                                </a:lnTo>
                                <a:lnTo>
                                  <a:pt x="18900" y="9118"/>
                                </a:lnTo>
                                <a:lnTo>
                                  <a:pt x="18414" y="8529"/>
                                </a:lnTo>
                                <a:lnTo>
                                  <a:pt x="17550" y="7697"/>
                                </a:lnTo>
                                <a:lnTo>
                                  <a:pt x="19440" y="7350"/>
                                </a:lnTo>
                                <a:lnTo>
                                  <a:pt x="19440" y="6761"/>
                                </a:lnTo>
                                <a:lnTo>
                                  <a:pt x="17118" y="6865"/>
                                </a:lnTo>
                                <a:lnTo>
                                  <a:pt x="16740" y="6345"/>
                                </a:lnTo>
                                <a:lnTo>
                                  <a:pt x="16524" y="5929"/>
                                </a:lnTo>
                                <a:lnTo>
                                  <a:pt x="16362" y="5651"/>
                                </a:lnTo>
                                <a:lnTo>
                                  <a:pt x="16254" y="5443"/>
                                </a:lnTo>
                                <a:lnTo>
                                  <a:pt x="16632" y="5443"/>
                                </a:lnTo>
                                <a:lnTo>
                                  <a:pt x="17118" y="5409"/>
                                </a:lnTo>
                                <a:lnTo>
                                  <a:pt x="17496" y="5409"/>
                                </a:lnTo>
                                <a:lnTo>
                                  <a:pt x="17928" y="5374"/>
                                </a:lnTo>
                                <a:lnTo>
                                  <a:pt x="18414" y="5339"/>
                                </a:lnTo>
                                <a:lnTo>
                                  <a:pt x="18792" y="5270"/>
                                </a:lnTo>
                                <a:lnTo>
                                  <a:pt x="19224" y="5235"/>
                                </a:lnTo>
                                <a:lnTo>
                                  <a:pt x="19602" y="5166"/>
                                </a:lnTo>
                                <a:lnTo>
                                  <a:pt x="19602" y="4507"/>
                                </a:lnTo>
                                <a:lnTo>
                                  <a:pt x="15984" y="4681"/>
                                </a:lnTo>
                                <a:lnTo>
                                  <a:pt x="15714" y="3779"/>
                                </a:lnTo>
                                <a:lnTo>
                                  <a:pt x="15714" y="3155"/>
                                </a:lnTo>
                                <a:lnTo>
                                  <a:pt x="15336" y="3190"/>
                                </a:lnTo>
                                <a:lnTo>
                                  <a:pt x="15012" y="3224"/>
                                </a:lnTo>
                                <a:lnTo>
                                  <a:pt x="14634" y="3363"/>
                                </a:lnTo>
                                <a:lnTo>
                                  <a:pt x="14310" y="3467"/>
                                </a:lnTo>
                                <a:lnTo>
                                  <a:pt x="14526" y="4854"/>
                                </a:lnTo>
                                <a:lnTo>
                                  <a:pt x="11556" y="4854"/>
                                </a:lnTo>
                                <a:lnTo>
                                  <a:pt x="11340" y="4022"/>
                                </a:lnTo>
                                <a:lnTo>
                                  <a:pt x="10206" y="4334"/>
                                </a:lnTo>
                                <a:lnTo>
                                  <a:pt x="10206" y="4993"/>
                                </a:lnTo>
                                <a:lnTo>
                                  <a:pt x="8640" y="4993"/>
                                </a:lnTo>
                                <a:lnTo>
                                  <a:pt x="7992" y="5755"/>
                                </a:lnTo>
                                <a:lnTo>
                                  <a:pt x="10422" y="5755"/>
                                </a:lnTo>
                                <a:lnTo>
                                  <a:pt x="11070" y="7489"/>
                                </a:lnTo>
                                <a:lnTo>
                                  <a:pt x="7992" y="7489"/>
                                </a:lnTo>
                                <a:lnTo>
                                  <a:pt x="7938" y="7246"/>
                                </a:lnTo>
                                <a:lnTo>
                                  <a:pt x="7830" y="7073"/>
                                </a:lnTo>
                                <a:lnTo>
                                  <a:pt x="7722" y="6830"/>
                                </a:lnTo>
                                <a:lnTo>
                                  <a:pt x="7560" y="6657"/>
                                </a:lnTo>
                                <a:lnTo>
                                  <a:pt x="6642" y="6865"/>
                                </a:lnTo>
                                <a:lnTo>
                                  <a:pt x="6642" y="7489"/>
                                </a:lnTo>
                                <a:lnTo>
                                  <a:pt x="6048" y="7489"/>
                                </a:lnTo>
                                <a:lnTo>
                                  <a:pt x="5724" y="8252"/>
                                </a:lnTo>
                                <a:lnTo>
                                  <a:pt x="6642" y="8252"/>
                                </a:lnTo>
                                <a:lnTo>
                                  <a:pt x="7830" y="10401"/>
                                </a:lnTo>
                                <a:lnTo>
                                  <a:pt x="4914" y="10401"/>
                                </a:lnTo>
                                <a:lnTo>
                                  <a:pt x="4644" y="9673"/>
                                </a:lnTo>
                                <a:lnTo>
                                  <a:pt x="3672" y="9916"/>
                                </a:lnTo>
                                <a:lnTo>
                                  <a:pt x="3672" y="10401"/>
                                </a:lnTo>
                                <a:lnTo>
                                  <a:pt x="3132" y="10401"/>
                                </a:lnTo>
                                <a:lnTo>
                                  <a:pt x="3132" y="11164"/>
                                </a:lnTo>
                                <a:lnTo>
                                  <a:pt x="3834" y="11164"/>
                                </a:lnTo>
                                <a:lnTo>
                                  <a:pt x="4644" y="13452"/>
                                </a:lnTo>
                                <a:lnTo>
                                  <a:pt x="3078" y="13452"/>
                                </a:lnTo>
                                <a:lnTo>
                                  <a:pt x="2646" y="12967"/>
                                </a:lnTo>
                                <a:lnTo>
                                  <a:pt x="1782" y="13695"/>
                                </a:lnTo>
                                <a:lnTo>
                                  <a:pt x="2646" y="16330"/>
                                </a:lnTo>
                                <a:lnTo>
                                  <a:pt x="2592" y="16365"/>
                                </a:lnTo>
                                <a:lnTo>
                                  <a:pt x="2322" y="16365"/>
                                </a:lnTo>
                                <a:lnTo>
                                  <a:pt x="2106" y="16330"/>
                                </a:lnTo>
                                <a:lnTo>
                                  <a:pt x="1782" y="17127"/>
                                </a:lnTo>
                                <a:lnTo>
                                  <a:pt x="3078" y="17197"/>
                                </a:lnTo>
                                <a:lnTo>
                                  <a:pt x="3294" y="17543"/>
                                </a:lnTo>
                                <a:lnTo>
                                  <a:pt x="3564" y="17856"/>
                                </a:lnTo>
                                <a:lnTo>
                                  <a:pt x="3780" y="18168"/>
                                </a:lnTo>
                                <a:lnTo>
                                  <a:pt x="4050" y="18480"/>
                                </a:lnTo>
                                <a:lnTo>
                                  <a:pt x="4320" y="18757"/>
                                </a:lnTo>
                                <a:lnTo>
                                  <a:pt x="4590" y="19069"/>
                                </a:lnTo>
                                <a:lnTo>
                                  <a:pt x="4806" y="19312"/>
                                </a:lnTo>
                                <a:lnTo>
                                  <a:pt x="5130" y="19589"/>
                                </a:lnTo>
                                <a:lnTo>
                                  <a:pt x="6318" y="19242"/>
                                </a:lnTo>
                                <a:lnTo>
                                  <a:pt x="4644" y="17197"/>
                                </a:lnTo>
                                <a:lnTo>
                                  <a:pt x="7128" y="17127"/>
                                </a:lnTo>
                                <a:lnTo>
                                  <a:pt x="8316" y="18376"/>
                                </a:lnTo>
                                <a:lnTo>
                                  <a:pt x="9504" y="18168"/>
                                </a:lnTo>
                                <a:lnTo>
                                  <a:pt x="8532" y="16989"/>
                                </a:lnTo>
                                <a:lnTo>
                                  <a:pt x="9180" y="16919"/>
                                </a:lnTo>
                                <a:lnTo>
                                  <a:pt x="10368" y="16781"/>
                                </a:lnTo>
                                <a:lnTo>
                                  <a:pt x="11016" y="16677"/>
                                </a:lnTo>
                                <a:lnTo>
                                  <a:pt x="11556" y="16503"/>
                                </a:lnTo>
                                <a:lnTo>
                                  <a:pt x="12096" y="16365"/>
                                </a:lnTo>
                                <a:lnTo>
                                  <a:pt x="12582" y="16087"/>
                                </a:lnTo>
                                <a:lnTo>
                                  <a:pt x="13014" y="15775"/>
                                </a:lnTo>
                                <a:lnTo>
                                  <a:pt x="14310" y="15602"/>
                                </a:lnTo>
                                <a:close/>
                              </a:path>
                            </a:pathLst>
                          </a:custGeom>
                          <a:solidFill>
                            <a:srgbClr val="000000"/>
                          </a:solidFill>
                          <a:ln w="12700" cap="flat">
                            <a:noFill/>
                            <a:miter lim="400000"/>
                          </a:ln>
                          <a:effectLst/>
                        </wps:spPr>
                        <wps:bodyPr/>
                      </wps:wsp>
                      <wps:wsp>
                        <wps:cNvPr id="1073741841" name="Shape 1073741841"/>
                        <wps:cNvSpPr/>
                        <wps:spPr>
                          <a:xfrm>
                            <a:off x="208214" y="268606"/>
                            <a:ext cx="246422" cy="403216"/>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13194" y="17314"/>
                                </a:moveTo>
                                <a:lnTo>
                                  <a:pt x="14252" y="17178"/>
                                </a:lnTo>
                                <a:lnTo>
                                  <a:pt x="13584" y="17654"/>
                                </a:lnTo>
                                <a:lnTo>
                                  <a:pt x="12860" y="18164"/>
                                </a:lnTo>
                                <a:lnTo>
                                  <a:pt x="12080" y="18709"/>
                                </a:lnTo>
                                <a:lnTo>
                                  <a:pt x="11245" y="19253"/>
                                </a:lnTo>
                                <a:lnTo>
                                  <a:pt x="10299" y="19763"/>
                                </a:lnTo>
                                <a:lnTo>
                                  <a:pt x="9353" y="20239"/>
                                </a:lnTo>
                                <a:lnTo>
                                  <a:pt x="8351" y="20682"/>
                                </a:lnTo>
                                <a:lnTo>
                                  <a:pt x="7348" y="21056"/>
                                </a:lnTo>
                                <a:lnTo>
                                  <a:pt x="6291" y="21328"/>
                                </a:lnTo>
                                <a:lnTo>
                                  <a:pt x="5344" y="21532"/>
                                </a:lnTo>
                                <a:lnTo>
                                  <a:pt x="4342" y="21600"/>
                                </a:lnTo>
                                <a:lnTo>
                                  <a:pt x="3340" y="21532"/>
                                </a:lnTo>
                                <a:lnTo>
                                  <a:pt x="2394" y="21328"/>
                                </a:lnTo>
                                <a:lnTo>
                                  <a:pt x="1559" y="20954"/>
                                </a:lnTo>
                                <a:lnTo>
                                  <a:pt x="724" y="20409"/>
                                </a:lnTo>
                                <a:lnTo>
                                  <a:pt x="0" y="19661"/>
                                </a:lnTo>
                                <a:lnTo>
                                  <a:pt x="1169" y="18947"/>
                                </a:lnTo>
                                <a:lnTo>
                                  <a:pt x="2338" y="18198"/>
                                </a:lnTo>
                                <a:lnTo>
                                  <a:pt x="4565" y="16498"/>
                                </a:lnTo>
                                <a:lnTo>
                                  <a:pt x="5623" y="15647"/>
                                </a:lnTo>
                                <a:lnTo>
                                  <a:pt x="6625" y="14695"/>
                                </a:lnTo>
                                <a:lnTo>
                                  <a:pt x="7515" y="13776"/>
                                </a:lnTo>
                                <a:lnTo>
                                  <a:pt x="8351" y="12790"/>
                                </a:lnTo>
                                <a:lnTo>
                                  <a:pt x="9074" y="11837"/>
                                </a:lnTo>
                                <a:lnTo>
                                  <a:pt x="9742" y="10817"/>
                                </a:lnTo>
                                <a:lnTo>
                                  <a:pt x="10299" y="9831"/>
                                </a:lnTo>
                                <a:lnTo>
                                  <a:pt x="10633" y="8776"/>
                                </a:lnTo>
                                <a:lnTo>
                                  <a:pt x="10967" y="7756"/>
                                </a:lnTo>
                                <a:lnTo>
                                  <a:pt x="11134" y="6735"/>
                                </a:lnTo>
                                <a:lnTo>
                                  <a:pt x="11134" y="5749"/>
                                </a:lnTo>
                                <a:lnTo>
                                  <a:pt x="11023" y="4694"/>
                                </a:lnTo>
                                <a:lnTo>
                                  <a:pt x="10744" y="3368"/>
                                </a:lnTo>
                                <a:lnTo>
                                  <a:pt x="10744" y="2653"/>
                                </a:lnTo>
                                <a:lnTo>
                                  <a:pt x="10800" y="2007"/>
                                </a:lnTo>
                                <a:lnTo>
                                  <a:pt x="10856" y="1020"/>
                                </a:lnTo>
                                <a:lnTo>
                                  <a:pt x="12080" y="850"/>
                                </a:lnTo>
                                <a:lnTo>
                                  <a:pt x="12915" y="646"/>
                                </a:lnTo>
                                <a:lnTo>
                                  <a:pt x="13584" y="442"/>
                                </a:lnTo>
                                <a:lnTo>
                                  <a:pt x="14140" y="204"/>
                                </a:lnTo>
                                <a:lnTo>
                                  <a:pt x="14697" y="68"/>
                                </a:lnTo>
                                <a:lnTo>
                                  <a:pt x="15365" y="0"/>
                                </a:lnTo>
                                <a:lnTo>
                                  <a:pt x="16256" y="34"/>
                                </a:lnTo>
                                <a:lnTo>
                                  <a:pt x="17592" y="170"/>
                                </a:lnTo>
                                <a:lnTo>
                                  <a:pt x="17536" y="850"/>
                                </a:lnTo>
                                <a:lnTo>
                                  <a:pt x="17759" y="1395"/>
                                </a:lnTo>
                                <a:lnTo>
                                  <a:pt x="18148" y="1803"/>
                                </a:lnTo>
                                <a:lnTo>
                                  <a:pt x="18761" y="2177"/>
                                </a:lnTo>
                                <a:lnTo>
                                  <a:pt x="19485" y="2517"/>
                                </a:lnTo>
                                <a:lnTo>
                                  <a:pt x="20208" y="2891"/>
                                </a:lnTo>
                                <a:lnTo>
                                  <a:pt x="20932" y="3300"/>
                                </a:lnTo>
                                <a:lnTo>
                                  <a:pt x="21600" y="3844"/>
                                </a:lnTo>
                                <a:lnTo>
                                  <a:pt x="18984" y="4320"/>
                                </a:lnTo>
                                <a:lnTo>
                                  <a:pt x="18260" y="3129"/>
                                </a:lnTo>
                                <a:lnTo>
                                  <a:pt x="17091" y="3300"/>
                                </a:lnTo>
                                <a:lnTo>
                                  <a:pt x="17592" y="4558"/>
                                </a:lnTo>
                                <a:lnTo>
                                  <a:pt x="14697" y="4796"/>
                                </a:lnTo>
                                <a:lnTo>
                                  <a:pt x="14252" y="3844"/>
                                </a:lnTo>
                                <a:lnTo>
                                  <a:pt x="13194" y="4150"/>
                                </a:lnTo>
                                <a:lnTo>
                                  <a:pt x="13472" y="5000"/>
                                </a:lnTo>
                                <a:lnTo>
                                  <a:pt x="13751" y="5817"/>
                                </a:lnTo>
                                <a:lnTo>
                                  <a:pt x="14140" y="6565"/>
                                </a:lnTo>
                                <a:lnTo>
                                  <a:pt x="14586" y="7347"/>
                                </a:lnTo>
                                <a:lnTo>
                                  <a:pt x="13918" y="7483"/>
                                </a:lnTo>
                                <a:lnTo>
                                  <a:pt x="13918" y="8130"/>
                                </a:lnTo>
                                <a:lnTo>
                                  <a:pt x="15198" y="8130"/>
                                </a:lnTo>
                                <a:lnTo>
                                  <a:pt x="17313" y="10137"/>
                                </a:lnTo>
                                <a:lnTo>
                                  <a:pt x="16812" y="10273"/>
                                </a:lnTo>
                                <a:lnTo>
                                  <a:pt x="16256" y="10341"/>
                                </a:lnTo>
                                <a:lnTo>
                                  <a:pt x="15254" y="10477"/>
                                </a:lnTo>
                                <a:lnTo>
                                  <a:pt x="14920" y="10545"/>
                                </a:lnTo>
                                <a:lnTo>
                                  <a:pt x="14586" y="10579"/>
                                </a:lnTo>
                                <a:lnTo>
                                  <a:pt x="14196" y="10613"/>
                                </a:lnTo>
                                <a:lnTo>
                                  <a:pt x="13973" y="10647"/>
                                </a:lnTo>
                                <a:lnTo>
                                  <a:pt x="13528" y="9660"/>
                                </a:lnTo>
                                <a:lnTo>
                                  <a:pt x="12303" y="9660"/>
                                </a:lnTo>
                                <a:lnTo>
                                  <a:pt x="12748" y="10885"/>
                                </a:lnTo>
                                <a:lnTo>
                                  <a:pt x="12303" y="10885"/>
                                </a:lnTo>
                                <a:lnTo>
                                  <a:pt x="11913" y="11667"/>
                                </a:lnTo>
                                <a:lnTo>
                                  <a:pt x="13194" y="11667"/>
                                </a:lnTo>
                                <a:lnTo>
                                  <a:pt x="13973" y="13232"/>
                                </a:lnTo>
                                <a:lnTo>
                                  <a:pt x="10856" y="13640"/>
                                </a:lnTo>
                                <a:lnTo>
                                  <a:pt x="10522" y="12892"/>
                                </a:lnTo>
                                <a:lnTo>
                                  <a:pt x="9464" y="13538"/>
                                </a:lnTo>
                                <a:lnTo>
                                  <a:pt x="9798" y="14389"/>
                                </a:lnTo>
                                <a:lnTo>
                                  <a:pt x="10243" y="15239"/>
                                </a:lnTo>
                                <a:lnTo>
                                  <a:pt x="10633" y="16123"/>
                                </a:lnTo>
                                <a:lnTo>
                                  <a:pt x="11190" y="16940"/>
                                </a:lnTo>
                                <a:lnTo>
                                  <a:pt x="7627" y="17552"/>
                                </a:lnTo>
                                <a:lnTo>
                                  <a:pt x="7293" y="16940"/>
                                </a:lnTo>
                                <a:lnTo>
                                  <a:pt x="6179" y="16940"/>
                                </a:lnTo>
                                <a:lnTo>
                                  <a:pt x="6235" y="17688"/>
                                </a:lnTo>
                                <a:lnTo>
                                  <a:pt x="5678" y="17688"/>
                                </a:lnTo>
                                <a:lnTo>
                                  <a:pt x="5233" y="18437"/>
                                </a:lnTo>
                                <a:lnTo>
                                  <a:pt x="6625" y="18437"/>
                                </a:lnTo>
                                <a:lnTo>
                                  <a:pt x="6792" y="18675"/>
                                </a:lnTo>
                                <a:lnTo>
                                  <a:pt x="7014" y="19015"/>
                                </a:lnTo>
                                <a:lnTo>
                                  <a:pt x="7404" y="19457"/>
                                </a:lnTo>
                                <a:lnTo>
                                  <a:pt x="7794" y="19967"/>
                                </a:lnTo>
                                <a:lnTo>
                                  <a:pt x="8963" y="19661"/>
                                </a:lnTo>
                                <a:lnTo>
                                  <a:pt x="8016" y="18300"/>
                                </a:lnTo>
                                <a:lnTo>
                                  <a:pt x="11746" y="17688"/>
                                </a:lnTo>
                                <a:lnTo>
                                  <a:pt x="12136" y="17960"/>
                                </a:lnTo>
                                <a:lnTo>
                                  <a:pt x="13194" y="17688"/>
                                </a:lnTo>
                                <a:lnTo>
                                  <a:pt x="13138" y="17552"/>
                                </a:lnTo>
                                <a:lnTo>
                                  <a:pt x="13138" y="17348"/>
                                </a:lnTo>
                                <a:lnTo>
                                  <a:pt x="13194" y="17314"/>
                                </a:lnTo>
                                <a:close/>
                              </a:path>
                            </a:pathLst>
                          </a:custGeom>
                          <a:solidFill>
                            <a:srgbClr val="000000"/>
                          </a:solidFill>
                          <a:ln w="12700" cap="flat">
                            <a:noFill/>
                            <a:miter lim="400000"/>
                          </a:ln>
                          <a:effectLst/>
                        </wps:spPr>
                        <wps:bodyPr/>
                      </wps:wsp>
                      <wps:wsp>
                        <wps:cNvPr id="1073741842" name="Shape 1073741842"/>
                        <wps:cNvSpPr/>
                        <wps:spPr>
                          <a:xfrm>
                            <a:off x="-2" y="144103"/>
                            <a:ext cx="603950" cy="203810"/>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7245" y="2893"/>
                                </a:moveTo>
                                <a:lnTo>
                                  <a:pt x="8109" y="740"/>
                                </a:lnTo>
                                <a:lnTo>
                                  <a:pt x="8517" y="1279"/>
                                </a:lnTo>
                                <a:lnTo>
                                  <a:pt x="8881" y="1817"/>
                                </a:lnTo>
                                <a:lnTo>
                                  <a:pt x="9221" y="2355"/>
                                </a:lnTo>
                                <a:lnTo>
                                  <a:pt x="9517" y="2826"/>
                                </a:lnTo>
                                <a:lnTo>
                                  <a:pt x="9835" y="3297"/>
                                </a:lnTo>
                                <a:lnTo>
                                  <a:pt x="10153" y="3566"/>
                                </a:lnTo>
                                <a:lnTo>
                                  <a:pt x="10539" y="3768"/>
                                </a:lnTo>
                                <a:lnTo>
                                  <a:pt x="10970" y="3836"/>
                                </a:lnTo>
                                <a:lnTo>
                                  <a:pt x="10834" y="3432"/>
                                </a:lnTo>
                                <a:lnTo>
                                  <a:pt x="10652" y="3028"/>
                                </a:lnTo>
                                <a:lnTo>
                                  <a:pt x="10493" y="2624"/>
                                </a:lnTo>
                                <a:lnTo>
                                  <a:pt x="10289" y="2153"/>
                                </a:lnTo>
                                <a:lnTo>
                                  <a:pt x="10085" y="1750"/>
                                </a:lnTo>
                                <a:lnTo>
                                  <a:pt x="9630" y="807"/>
                                </a:lnTo>
                                <a:lnTo>
                                  <a:pt x="9358" y="336"/>
                                </a:lnTo>
                                <a:lnTo>
                                  <a:pt x="9926" y="135"/>
                                </a:lnTo>
                                <a:lnTo>
                                  <a:pt x="10357" y="0"/>
                                </a:lnTo>
                                <a:lnTo>
                                  <a:pt x="10766" y="0"/>
                                </a:lnTo>
                                <a:lnTo>
                                  <a:pt x="11084" y="135"/>
                                </a:lnTo>
                                <a:lnTo>
                                  <a:pt x="11379" y="606"/>
                                </a:lnTo>
                                <a:lnTo>
                                  <a:pt x="11697" y="1211"/>
                                </a:lnTo>
                                <a:lnTo>
                                  <a:pt x="12015" y="2153"/>
                                </a:lnTo>
                                <a:lnTo>
                                  <a:pt x="12401" y="3499"/>
                                </a:lnTo>
                                <a:lnTo>
                                  <a:pt x="13151" y="3499"/>
                                </a:lnTo>
                                <a:lnTo>
                                  <a:pt x="13060" y="3095"/>
                                </a:lnTo>
                                <a:lnTo>
                                  <a:pt x="12969" y="2826"/>
                                </a:lnTo>
                                <a:lnTo>
                                  <a:pt x="12901" y="2490"/>
                                </a:lnTo>
                                <a:lnTo>
                                  <a:pt x="12810" y="2086"/>
                                </a:lnTo>
                                <a:lnTo>
                                  <a:pt x="12674" y="1750"/>
                                </a:lnTo>
                                <a:lnTo>
                                  <a:pt x="12583" y="1413"/>
                                </a:lnTo>
                                <a:lnTo>
                                  <a:pt x="12447" y="1009"/>
                                </a:lnTo>
                                <a:lnTo>
                                  <a:pt x="12333" y="606"/>
                                </a:lnTo>
                                <a:lnTo>
                                  <a:pt x="13332" y="606"/>
                                </a:lnTo>
                                <a:lnTo>
                                  <a:pt x="14309" y="4105"/>
                                </a:lnTo>
                                <a:lnTo>
                                  <a:pt x="15286" y="4441"/>
                                </a:lnTo>
                                <a:lnTo>
                                  <a:pt x="14514" y="1548"/>
                                </a:lnTo>
                                <a:lnTo>
                                  <a:pt x="14673" y="1279"/>
                                </a:lnTo>
                                <a:lnTo>
                                  <a:pt x="14786" y="1077"/>
                                </a:lnTo>
                                <a:lnTo>
                                  <a:pt x="14922" y="942"/>
                                </a:lnTo>
                                <a:lnTo>
                                  <a:pt x="15036" y="807"/>
                                </a:lnTo>
                                <a:lnTo>
                                  <a:pt x="15127" y="673"/>
                                </a:lnTo>
                                <a:lnTo>
                                  <a:pt x="15240" y="538"/>
                                </a:lnTo>
                                <a:lnTo>
                                  <a:pt x="15331" y="404"/>
                                </a:lnTo>
                                <a:lnTo>
                                  <a:pt x="15399" y="336"/>
                                </a:lnTo>
                                <a:lnTo>
                                  <a:pt x="16649" y="5383"/>
                                </a:lnTo>
                                <a:lnTo>
                                  <a:pt x="17693" y="6191"/>
                                </a:lnTo>
                                <a:lnTo>
                                  <a:pt x="17671" y="6056"/>
                                </a:lnTo>
                                <a:lnTo>
                                  <a:pt x="17625" y="5720"/>
                                </a:lnTo>
                                <a:lnTo>
                                  <a:pt x="17534" y="5383"/>
                                </a:lnTo>
                                <a:lnTo>
                                  <a:pt x="17444" y="4979"/>
                                </a:lnTo>
                                <a:lnTo>
                                  <a:pt x="17330" y="4374"/>
                                </a:lnTo>
                                <a:lnTo>
                                  <a:pt x="17148" y="3701"/>
                                </a:lnTo>
                                <a:lnTo>
                                  <a:pt x="16989" y="2893"/>
                                </a:lnTo>
                                <a:lnTo>
                                  <a:pt x="16785" y="2019"/>
                                </a:lnTo>
                                <a:lnTo>
                                  <a:pt x="18216" y="3499"/>
                                </a:lnTo>
                                <a:lnTo>
                                  <a:pt x="18602" y="5181"/>
                                </a:lnTo>
                                <a:lnTo>
                                  <a:pt x="18965" y="6527"/>
                                </a:lnTo>
                                <a:lnTo>
                                  <a:pt x="19329" y="7671"/>
                                </a:lnTo>
                                <a:lnTo>
                                  <a:pt x="19738" y="8680"/>
                                </a:lnTo>
                                <a:lnTo>
                                  <a:pt x="20124" y="9555"/>
                                </a:lnTo>
                                <a:lnTo>
                                  <a:pt x="20578" y="10497"/>
                                </a:lnTo>
                                <a:lnTo>
                                  <a:pt x="21055" y="11507"/>
                                </a:lnTo>
                                <a:lnTo>
                                  <a:pt x="21600" y="12718"/>
                                </a:lnTo>
                                <a:lnTo>
                                  <a:pt x="20828" y="15207"/>
                                </a:lnTo>
                                <a:lnTo>
                                  <a:pt x="20487" y="14535"/>
                                </a:lnTo>
                                <a:lnTo>
                                  <a:pt x="20192" y="13929"/>
                                </a:lnTo>
                                <a:lnTo>
                                  <a:pt x="19919" y="13391"/>
                                </a:lnTo>
                                <a:lnTo>
                                  <a:pt x="19692" y="12987"/>
                                </a:lnTo>
                                <a:lnTo>
                                  <a:pt x="19465" y="12516"/>
                                </a:lnTo>
                                <a:lnTo>
                                  <a:pt x="19238" y="12247"/>
                                </a:lnTo>
                                <a:lnTo>
                                  <a:pt x="19033" y="11978"/>
                                </a:lnTo>
                                <a:lnTo>
                                  <a:pt x="18874" y="11843"/>
                                </a:lnTo>
                                <a:lnTo>
                                  <a:pt x="18670" y="11776"/>
                                </a:lnTo>
                                <a:lnTo>
                                  <a:pt x="18488" y="11776"/>
                                </a:lnTo>
                                <a:lnTo>
                                  <a:pt x="18261" y="11843"/>
                                </a:lnTo>
                                <a:lnTo>
                                  <a:pt x="18034" y="12112"/>
                                </a:lnTo>
                                <a:lnTo>
                                  <a:pt x="17784" y="12314"/>
                                </a:lnTo>
                                <a:lnTo>
                                  <a:pt x="17489" y="12650"/>
                                </a:lnTo>
                                <a:lnTo>
                                  <a:pt x="17171" y="13054"/>
                                </a:lnTo>
                                <a:lnTo>
                                  <a:pt x="16830" y="13525"/>
                                </a:lnTo>
                                <a:lnTo>
                                  <a:pt x="16739" y="13525"/>
                                </a:lnTo>
                                <a:lnTo>
                                  <a:pt x="16512" y="13391"/>
                                </a:lnTo>
                                <a:lnTo>
                                  <a:pt x="16399" y="13256"/>
                                </a:lnTo>
                                <a:lnTo>
                                  <a:pt x="16240" y="13121"/>
                                </a:lnTo>
                                <a:lnTo>
                                  <a:pt x="16058" y="12987"/>
                                </a:lnTo>
                                <a:lnTo>
                                  <a:pt x="15899" y="12718"/>
                                </a:lnTo>
                                <a:lnTo>
                                  <a:pt x="15695" y="12516"/>
                                </a:lnTo>
                                <a:lnTo>
                                  <a:pt x="17307" y="9959"/>
                                </a:lnTo>
                                <a:lnTo>
                                  <a:pt x="16853" y="9488"/>
                                </a:lnTo>
                                <a:lnTo>
                                  <a:pt x="16467" y="9421"/>
                                </a:lnTo>
                                <a:lnTo>
                                  <a:pt x="16103" y="9757"/>
                                </a:lnTo>
                                <a:lnTo>
                                  <a:pt x="15740" y="10295"/>
                                </a:lnTo>
                                <a:lnTo>
                                  <a:pt x="15399" y="10834"/>
                                </a:lnTo>
                                <a:lnTo>
                                  <a:pt x="15013" y="11372"/>
                                </a:lnTo>
                                <a:lnTo>
                                  <a:pt x="14559" y="11641"/>
                                </a:lnTo>
                                <a:lnTo>
                                  <a:pt x="14037" y="11574"/>
                                </a:lnTo>
                                <a:lnTo>
                                  <a:pt x="14173" y="11237"/>
                                </a:lnTo>
                                <a:lnTo>
                                  <a:pt x="14332" y="10834"/>
                                </a:lnTo>
                                <a:lnTo>
                                  <a:pt x="14468" y="10497"/>
                                </a:lnTo>
                                <a:lnTo>
                                  <a:pt x="14650" y="10026"/>
                                </a:lnTo>
                                <a:lnTo>
                                  <a:pt x="14832" y="9622"/>
                                </a:lnTo>
                                <a:lnTo>
                                  <a:pt x="15036" y="9151"/>
                                </a:lnTo>
                                <a:lnTo>
                                  <a:pt x="15263" y="8748"/>
                                </a:lnTo>
                                <a:lnTo>
                                  <a:pt x="15490" y="8277"/>
                                </a:lnTo>
                                <a:lnTo>
                                  <a:pt x="14832" y="8142"/>
                                </a:lnTo>
                                <a:lnTo>
                                  <a:pt x="14355" y="8546"/>
                                </a:lnTo>
                                <a:lnTo>
                                  <a:pt x="13946" y="9151"/>
                                </a:lnTo>
                                <a:lnTo>
                                  <a:pt x="13628" y="10026"/>
                                </a:lnTo>
                                <a:lnTo>
                                  <a:pt x="13287" y="10968"/>
                                </a:lnTo>
                                <a:lnTo>
                                  <a:pt x="12924" y="11843"/>
                                </a:lnTo>
                                <a:lnTo>
                                  <a:pt x="12424" y="12516"/>
                                </a:lnTo>
                                <a:lnTo>
                                  <a:pt x="11811" y="12718"/>
                                </a:lnTo>
                                <a:lnTo>
                                  <a:pt x="11992" y="11978"/>
                                </a:lnTo>
                                <a:lnTo>
                                  <a:pt x="12151" y="11305"/>
                                </a:lnTo>
                                <a:lnTo>
                                  <a:pt x="12560" y="9824"/>
                                </a:lnTo>
                                <a:lnTo>
                                  <a:pt x="12765" y="9151"/>
                                </a:lnTo>
                                <a:lnTo>
                                  <a:pt x="13015" y="8546"/>
                                </a:lnTo>
                                <a:lnTo>
                                  <a:pt x="13514" y="7200"/>
                                </a:lnTo>
                                <a:lnTo>
                                  <a:pt x="12560" y="7200"/>
                                </a:lnTo>
                                <a:lnTo>
                                  <a:pt x="12129" y="8680"/>
                                </a:lnTo>
                                <a:lnTo>
                                  <a:pt x="11765" y="9892"/>
                                </a:lnTo>
                                <a:lnTo>
                                  <a:pt x="11447" y="11036"/>
                                </a:lnTo>
                                <a:lnTo>
                                  <a:pt x="11152" y="12112"/>
                                </a:lnTo>
                                <a:lnTo>
                                  <a:pt x="10811" y="13054"/>
                                </a:lnTo>
                                <a:lnTo>
                                  <a:pt x="10425" y="13862"/>
                                </a:lnTo>
                                <a:lnTo>
                                  <a:pt x="9948" y="14535"/>
                                </a:lnTo>
                                <a:lnTo>
                                  <a:pt x="9358" y="15207"/>
                                </a:lnTo>
                                <a:lnTo>
                                  <a:pt x="9517" y="14467"/>
                                </a:lnTo>
                                <a:lnTo>
                                  <a:pt x="9744" y="13391"/>
                                </a:lnTo>
                                <a:lnTo>
                                  <a:pt x="10039" y="12247"/>
                                </a:lnTo>
                                <a:lnTo>
                                  <a:pt x="10357" y="10901"/>
                                </a:lnTo>
                                <a:lnTo>
                                  <a:pt x="10652" y="9690"/>
                                </a:lnTo>
                                <a:lnTo>
                                  <a:pt x="10925" y="8546"/>
                                </a:lnTo>
                                <a:lnTo>
                                  <a:pt x="11107" y="7738"/>
                                </a:lnTo>
                                <a:lnTo>
                                  <a:pt x="11175" y="7200"/>
                                </a:lnTo>
                                <a:lnTo>
                                  <a:pt x="10675" y="7469"/>
                                </a:lnTo>
                                <a:lnTo>
                                  <a:pt x="10221" y="8142"/>
                                </a:lnTo>
                                <a:lnTo>
                                  <a:pt x="9789" y="9219"/>
                                </a:lnTo>
                                <a:lnTo>
                                  <a:pt x="9403" y="10564"/>
                                </a:lnTo>
                                <a:lnTo>
                                  <a:pt x="9062" y="12112"/>
                                </a:lnTo>
                                <a:lnTo>
                                  <a:pt x="8767" y="13525"/>
                                </a:lnTo>
                                <a:lnTo>
                                  <a:pt x="8495" y="15006"/>
                                </a:lnTo>
                                <a:lnTo>
                                  <a:pt x="8245" y="16284"/>
                                </a:lnTo>
                                <a:lnTo>
                                  <a:pt x="6837" y="18101"/>
                                </a:lnTo>
                                <a:lnTo>
                                  <a:pt x="6996" y="17024"/>
                                </a:lnTo>
                                <a:lnTo>
                                  <a:pt x="7177" y="15880"/>
                                </a:lnTo>
                                <a:lnTo>
                                  <a:pt x="7382" y="14669"/>
                                </a:lnTo>
                                <a:lnTo>
                                  <a:pt x="7609" y="13525"/>
                                </a:lnTo>
                                <a:lnTo>
                                  <a:pt x="7836" y="12314"/>
                                </a:lnTo>
                                <a:lnTo>
                                  <a:pt x="8109" y="11036"/>
                                </a:lnTo>
                                <a:lnTo>
                                  <a:pt x="8381" y="9824"/>
                                </a:lnTo>
                                <a:lnTo>
                                  <a:pt x="8676" y="8546"/>
                                </a:lnTo>
                                <a:lnTo>
                                  <a:pt x="8109" y="9017"/>
                                </a:lnTo>
                                <a:lnTo>
                                  <a:pt x="7609" y="10026"/>
                                </a:lnTo>
                                <a:lnTo>
                                  <a:pt x="7177" y="11305"/>
                                </a:lnTo>
                                <a:lnTo>
                                  <a:pt x="6768" y="12785"/>
                                </a:lnTo>
                                <a:lnTo>
                                  <a:pt x="6450" y="14535"/>
                                </a:lnTo>
                                <a:lnTo>
                                  <a:pt x="6155" y="16284"/>
                                </a:lnTo>
                                <a:lnTo>
                                  <a:pt x="5951" y="18034"/>
                                </a:lnTo>
                                <a:lnTo>
                                  <a:pt x="5746" y="19716"/>
                                </a:lnTo>
                                <a:lnTo>
                                  <a:pt x="4702" y="20254"/>
                                </a:lnTo>
                                <a:lnTo>
                                  <a:pt x="4861" y="19043"/>
                                </a:lnTo>
                                <a:lnTo>
                                  <a:pt x="5042" y="17899"/>
                                </a:lnTo>
                                <a:lnTo>
                                  <a:pt x="5201" y="16755"/>
                                </a:lnTo>
                                <a:lnTo>
                                  <a:pt x="5383" y="15544"/>
                                </a:lnTo>
                                <a:lnTo>
                                  <a:pt x="5542" y="14467"/>
                                </a:lnTo>
                                <a:lnTo>
                                  <a:pt x="5746" y="13391"/>
                                </a:lnTo>
                                <a:lnTo>
                                  <a:pt x="5905" y="12314"/>
                                </a:lnTo>
                                <a:lnTo>
                                  <a:pt x="6110" y="11237"/>
                                </a:lnTo>
                                <a:lnTo>
                                  <a:pt x="5179" y="12112"/>
                                </a:lnTo>
                                <a:lnTo>
                                  <a:pt x="4951" y="13323"/>
                                </a:lnTo>
                                <a:lnTo>
                                  <a:pt x="4770" y="14535"/>
                                </a:lnTo>
                                <a:lnTo>
                                  <a:pt x="4588" y="15813"/>
                                </a:lnTo>
                                <a:lnTo>
                                  <a:pt x="4406" y="16957"/>
                                </a:lnTo>
                                <a:lnTo>
                                  <a:pt x="4088" y="19245"/>
                                </a:lnTo>
                                <a:lnTo>
                                  <a:pt x="3861" y="21398"/>
                                </a:lnTo>
                                <a:lnTo>
                                  <a:pt x="2885" y="21600"/>
                                </a:lnTo>
                                <a:lnTo>
                                  <a:pt x="2975" y="20793"/>
                                </a:lnTo>
                                <a:lnTo>
                                  <a:pt x="3044" y="19985"/>
                                </a:lnTo>
                                <a:lnTo>
                                  <a:pt x="3134" y="19110"/>
                                </a:lnTo>
                                <a:lnTo>
                                  <a:pt x="3271" y="18168"/>
                                </a:lnTo>
                                <a:lnTo>
                                  <a:pt x="3407" y="17159"/>
                                </a:lnTo>
                                <a:lnTo>
                                  <a:pt x="3566" y="16150"/>
                                </a:lnTo>
                                <a:lnTo>
                                  <a:pt x="3725" y="15073"/>
                                </a:lnTo>
                                <a:lnTo>
                                  <a:pt x="3929" y="13996"/>
                                </a:lnTo>
                                <a:lnTo>
                                  <a:pt x="3452" y="14535"/>
                                </a:lnTo>
                                <a:lnTo>
                                  <a:pt x="3112" y="15140"/>
                                </a:lnTo>
                                <a:lnTo>
                                  <a:pt x="2862" y="15880"/>
                                </a:lnTo>
                                <a:lnTo>
                                  <a:pt x="2703" y="16688"/>
                                </a:lnTo>
                                <a:lnTo>
                                  <a:pt x="2544" y="17630"/>
                                </a:lnTo>
                                <a:lnTo>
                                  <a:pt x="2430" y="18707"/>
                                </a:lnTo>
                                <a:lnTo>
                                  <a:pt x="2271" y="19918"/>
                                </a:lnTo>
                                <a:lnTo>
                                  <a:pt x="2067" y="21398"/>
                                </a:lnTo>
                                <a:lnTo>
                                  <a:pt x="1249" y="20523"/>
                                </a:lnTo>
                                <a:lnTo>
                                  <a:pt x="1840" y="16755"/>
                                </a:lnTo>
                                <a:lnTo>
                                  <a:pt x="1613" y="17092"/>
                                </a:lnTo>
                                <a:lnTo>
                                  <a:pt x="1408" y="17428"/>
                                </a:lnTo>
                                <a:lnTo>
                                  <a:pt x="1226" y="17697"/>
                                </a:lnTo>
                                <a:lnTo>
                                  <a:pt x="1045" y="17899"/>
                                </a:lnTo>
                                <a:lnTo>
                                  <a:pt x="909" y="18101"/>
                                </a:lnTo>
                                <a:lnTo>
                                  <a:pt x="750" y="18370"/>
                                </a:lnTo>
                                <a:lnTo>
                                  <a:pt x="613" y="18505"/>
                                </a:lnTo>
                                <a:lnTo>
                                  <a:pt x="500" y="18572"/>
                                </a:lnTo>
                                <a:lnTo>
                                  <a:pt x="318" y="17764"/>
                                </a:lnTo>
                                <a:lnTo>
                                  <a:pt x="227" y="17024"/>
                                </a:lnTo>
                                <a:lnTo>
                                  <a:pt x="227" y="16419"/>
                                </a:lnTo>
                                <a:lnTo>
                                  <a:pt x="363" y="15948"/>
                                </a:lnTo>
                                <a:lnTo>
                                  <a:pt x="522" y="15409"/>
                                </a:lnTo>
                                <a:lnTo>
                                  <a:pt x="750" y="15006"/>
                                </a:lnTo>
                                <a:lnTo>
                                  <a:pt x="1022" y="14467"/>
                                </a:lnTo>
                                <a:lnTo>
                                  <a:pt x="1295" y="13996"/>
                                </a:lnTo>
                                <a:lnTo>
                                  <a:pt x="0" y="13525"/>
                                </a:lnTo>
                                <a:lnTo>
                                  <a:pt x="204" y="10766"/>
                                </a:lnTo>
                                <a:lnTo>
                                  <a:pt x="681" y="10834"/>
                                </a:lnTo>
                                <a:lnTo>
                                  <a:pt x="1090" y="10968"/>
                                </a:lnTo>
                                <a:lnTo>
                                  <a:pt x="1499" y="11237"/>
                                </a:lnTo>
                                <a:lnTo>
                                  <a:pt x="1862" y="11439"/>
                                </a:lnTo>
                                <a:lnTo>
                                  <a:pt x="2226" y="11507"/>
                                </a:lnTo>
                                <a:lnTo>
                                  <a:pt x="2612" y="11507"/>
                                </a:lnTo>
                                <a:lnTo>
                                  <a:pt x="3021" y="11305"/>
                                </a:lnTo>
                                <a:lnTo>
                                  <a:pt x="3430" y="10766"/>
                                </a:lnTo>
                                <a:lnTo>
                                  <a:pt x="3044" y="10295"/>
                                </a:lnTo>
                                <a:lnTo>
                                  <a:pt x="2657" y="9892"/>
                                </a:lnTo>
                                <a:lnTo>
                                  <a:pt x="2249" y="9555"/>
                                </a:lnTo>
                                <a:lnTo>
                                  <a:pt x="1885" y="9219"/>
                                </a:lnTo>
                                <a:lnTo>
                                  <a:pt x="1522" y="9017"/>
                                </a:lnTo>
                                <a:lnTo>
                                  <a:pt x="1158" y="8882"/>
                                </a:lnTo>
                                <a:lnTo>
                                  <a:pt x="772" y="8748"/>
                                </a:lnTo>
                                <a:lnTo>
                                  <a:pt x="409" y="8748"/>
                                </a:lnTo>
                                <a:lnTo>
                                  <a:pt x="591" y="7940"/>
                                </a:lnTo>
                                <a:lnTo>
                                  <a:pt x="954" y="6594"/>
                                </a:lnTo>
                                <a:lnTo>
                                  <a:pt x="1113" y="6056"/>
                                </a:lnTo>
                                <a:lnTo>
                                  <a:pt x="1476" y="6056"/>
                                </a:lnTo>
                                <a:lnTo>
                                  <a:pt x="1817" y="6191"/>
                                </a:lnTo>
                                <a:lnTo>
                                  <a:pt x="2135" y="6325"/>
                                </a:lnTo>
                                <a:lnTo>
                                  <a:pt x="2476" y="6460"/>
                                </a:lnTo>
                                <a:lnTo>
                                  <a:pt x="2794" y="6662"/>
                                </a:lnTo>
                                <a:lnTo>
                                  <a:pt x="3089" y="6931"/>
                                </a:lnTo>
                                <a:lnTo>
                                  <a:pt x="3407" y="7133"/>
                                </a:lnTo>
                                <a:lnTo>
                                  <a:pt x="4293" y="7738"/>
                                </a:lnTo>
                                <a:lnTo>
                                  <a:pt x="4883" y="7873"/>
                                </a:lnTo>
                                <a:lnTo>
                                  <a:pt x="5201" y="7873"/>
                                </a:lnTo>
                                <a:lnTo>
                                  <a:pt x="5497" y="7738"/>
                                </a:lnTo>
                                <a:lnTo>
                                  <a:pt x="5792" y="7469"/>
                                </a:lnTo>
                                <a:lnTo>
                                  <a:pt x="6110" y="7200"/>
                                </a:lnTo>
                                <a:lnTo>
                                  <a:pt x="5837" y="6864"/>
                                </a:lnTo>
                                <a:lnTo>
                                  <a:pt x="5587" y="6527"/>
                                </a:lnTo>
                                <a:lnTo>
                                  <a:pt x="5338" y="6258"/>
                                </a:lnTo>
                                <a:lnTo>
                                  <a:pt x="5065" y="6056"/>
                                </a:lnTo>
                                <a:lnTo>
                                  <a:pt x="4792" y="5720"/>
                                </a:lnTo>
                                <a:lnTo>
                                  <a:pt x="4520" y="5518"/>
                                </a:lnTo>
                                <a:lnTo>
                                  <a:pt x="4270" y="5316"/>
                                </a:lnTo>
                                <a:lnTo>
                                  <a:pt x="3997" y="5181"/>
                                </a:lnTo>
                                <a:lnTo>
                                  <a:pt x="3452" y="4778"/>
                                </a:lnTo>
                                <a:lnTo>
                                  <a:pt x="3180" y="4710"/>
                                </a:lnTo>
                                <a:lnTo>
                                  <a:pt x="2907" y="4576"/>
                                </a:lnTo>
                                <a:lnTo>
                                  <a:pt x="2657" y="4508"/>
                                </a:lnTo>
                                <a:lnTo>
                                  <a:pt x="2385" y="4508"/>
                                </a:lnTo>
                                <a:lnTo>
                                  <a:pt x="2112" y="4441"/>
                                </a:lnTo>
                                <a:lnTo>
                                  <a:pt x="1840" y="4441"/>
                                </a:lnTo>
                                <a:lnTo>
                                  <a:pt x="2226" y="3768"/>
                                </a:lnTo>
                                <a:lnTo>
                                  <a:pt x="2612" y="3297"/>
                                </a:lnTo>
                                <a:lnTo>
                                  <a:pt x="3021" y="2893"/>
                                </a:lnTo>
                                <a:lnTo>
                                  <a:pt x="3384" y="2692"/>
                                </a:lnTo>
                                <a:lnTo>
                                  <a:pt x="3770" y="2557"/>
                                </a:lnTo>
                                <a:lnTo>
                                  <a:pt x="4111" y="2557"/>
                                </a:lnTo>
                                <a:lnTo>
                                  <a:pt x="4497" y="2624"/>
                                </a:lnTo>
                                <a:lnTo>
                                  <a:pt x="4861" y="2759"/>
                                </a:lnTo>
                                <a:lnTo>
                                  <a:pt x="5224" y="2961"/>
                                </a:lnTo>
                                <a:lnTo>
                                  <a:pt x="5587" y="3297"/>
                                </a:lnTo>
                                <a:lnTo>
                                  <a:pt x="5951" y="3566"/>
                                </a:lnTo>
                                <a:lnTo>
                                  <a:pt x="6337" y="3903"/>
                                </a:lnTo>
                                <a:lnTo>
                                  <a:pt x="6700" y="4374"/>
                                </a:lnTo>
                                <a:lnTo>
                                  <a:pt x="7086" y="4778"/>
                                </a:lnTo>
                                <a:lnTo>
                                  <a:pt x="7495" y="5181"/>
                                </a:lnTo>
                                <a:lnTo>
                                  <a:pt x="7881" y="5585"/>
                                </a:lnTo>
                                <a:lnTo>
                                  <a:pt x="7950" y="5585"/>
                                </a:lnTo>
                                <a:lnTo>
                                  <a:pt x="8040" y="5518"/>
                                </a:lnTo>
                                <a:lnTo>
                                  <a:pt x="8109" y="5450"/>
                                </a:lnTo>
                                <a:lnTo>
                                  <a:pt x="8290" y="5316"/>
                                </a:lnTo>
                                <a:lnTo>
                                  <a:pt x="8517" y="5047"/>
                                </a:lnTo>
                                <a:lnTo>
                                  <a:pt x="8631" y="4845"/>
                                </a:lnTo>
                                <a:lnTo>
                                  <a:pt x="8517" y="4710"/>
                                </a:lnTo>
                                <a:lnTo>
                                  <a:pt x="8426" y="4508"/>
                                </a:lnTo>
                                <a:lnTo>
                                  <a:pt x="8268" y="4374"/>
                                </a:lnTo>
                                <a:lnTo>
                                  <a:pt x="8131" y="4105"/>
                                </a:lnTo>
                                <a:lnTo>
                                  <a:pt x="7927" y="3836"/>
                                </a:lnTo>
                                <a:lnTo>
                                  <a:pt x="7745" y="3566"/>
                                </a:lnTo>
                                <a:lnTo>
                                  <a:pt x="7495" y="3297"/>
                                </a:lnTo>
                                <a:lnTo>
                                  <a:pt x="7245" y="2893"/>
                                </a:lnTo>
                                <a:close/>
                              </a:path>
                            </a:pathLst>
                          </a:custGeom>
                          <a:solidFill>
                            <a:srgbClr val="000000"/>
                          </a:solidFill>
                          <a:ln w="12700" cap="flat">
                            <a:noFill/>
                            <a:miter lim="400000"/>
                          </a:ln>
                          <a:effectLst/>
                        </wps:spPr>
                        <wps:bodyPr/>
                      </wps:wsp>
                      <wps:wsp>
                        <wps:cNvPr id="1073741843" name="Shape 1073741843"/>
                        <wps:cNvSpPr/>
                        <wps:spPr>
                          <a:xfrm>
                            <a:off x="35502" y="1898"/>
                            <a:ext cx="215920" cy="164411"/>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508" y="8340"/>
                                </a:moveTo>
                                <a:lnTo>
                                  <a:pt x="0" y="5171"/>
                                </a:lnTo>
                                <a:lnTo>
                                  <a:pt x="3431" y="5171"/>
                                </a:lnTo>
                                <a:lnTo>
                                  <a:pt x="2478" y="3086"/>
                                </a:lnTo>
                                <a:lnTo>
                                  <a:pt x="1969" y="1501"/>
                                </a:lnTo>
                                <a:lnTo>
                                  <a:pt x="1842" y="667"/>
                                </a:lnTo>
                                <a:lnTo>
                                  <a:pt x="2096" y="167"/>
                                </a:lnTo>
                                <a:lnTo>
                                  <a:pt x="2732" y="167"/>
                                </a:lnTo>
                                <a:lnTo>
                                  <a:pt x="3494" y="751"/>
                                </a:lnTo>
                                <a:lnTo>
                                  <a:pt x="4447" y="1751"/>
                                </a:lnTo>
                                <a:lnTo>
                                  <a:pt x="5591" y="3086"/>
                                </a:lnTo>
                                <a:lnTo>
                                  <a:pt x="5781" y="1918"/>
                                </a:lnTo>
                                <a:lnTo>
                                  <a:pt x="5908" y="1001"/>
                                </a:lnTo>
                                <a:lnTo>
                                  <a:pt x="6035" y="334"/>
                                </a:lnTo>
                                <a:lnTo>
                                  <a:pt x="6035" y="0"/>
                                </a:lnTo>
                                <a:lnTo>
                                  <a:pt x="8894" y="1251"/>
                                </a:lnTo>
                                <a:lnTo>
                                  <a:pt x="8894" y="2419"/>
                                </a:lnTo>
                                <a:lnTo>
                                  <a:pt x="8704" y="3586"/>
                                </a:lnTo>
                                <a:lnTo>
                                  <a:pt x="8576" y="5004"/>
                                </a:lnTo>
                                <a:lnTo>
                                  <a:pt x="8386" y="6422"/>
                                </a:lnTo>
                                <a:lnTo>
                                  <a:pt x="9911" y="8340"/>
                                </a:lnTo>
                                <a:lnTo>
                                  <a:pt x="10355" y="6922"/>
                                </a:lnTo>
                                <a:lnTo>
                                  <a:pt x="10673" y="5504"/>
                                </a:lnTo>
                                <a:lnTo>
                                  <a:pt x="10864" y="4086"/>
                                </a:lnTo>
                                <a:lnTo>
                                  <a:pt x="10927" y="2585"/>
                                </a:lnTo>
                                <a:lnTo>
                                  <a:pt x="13214" y="4503"/>
                                </a:lnTo>
                                <a:lnTo>
                                  <a:pt x="13151" y="5754"/>
                                </a:lnTo>
                                <a:lnTo>
                                  <a:pt x="12960" y="7339"/>
                                </a:lnTo>
                                <a:lnTo>
                                  <a:pt x="12706" y="9090"/>
                                </a:lnTo>
                                <a:lnTo>
                                  <a:pt x="12325" y="11175"/>
                                </a:lnTo>
                                <a:lnTo>
                                  <a:pt x="13532" y="12676"/>
                                </a:lnTo>
                                <a:lnTo>
                                  <a:pt x="13976" y="10925"/>
                                </a:lnTo>
                                <a:lnTo>
                                  <a:pt x="14294" y="9174"/>
                                </a:lnTo>
                                <a:lnTo>
                                  <a:pt x="14612" y="7506"/>
                                </a:lnTo>
                                <a:lnTo>
                                  <a:pt x="15120" y="5921"/>
                                </a:lnTo>
                                <a:lnTo>
                                  <a:pt x="17407" y="7422"/>
                                </a:lnTo>
                                <a:lnTo>
                                  <a:pt x="17089" y="9257"/>
                                </a:lnTo>
                                <a:lnTo>
                                  <a:pt x="16772" y="11175"/>
                                </a:lnTo>
                                <a:lnTo>
                                  <a:pt x="16264" y="13093"/>
                                </a:lnTo>
                                <a:lnTo>
                                  <a:pt x="15692" y="15095"/>
                                </a:lnTo>
                                <a:lnTo>
                                  <a:pt x="16708" y="16263"/>
                                </a:lnTo>
                                <a:lnTo>
                                  <a:pt x="17089" y="15512"/>
                                </a:lnTo>
                                <a:lnTo>
                                  <a:pt x="17471" y="14678"/>
                                </a:lnTo>
                                <a:lnTo>
                                  <a:pt x="17788" y="13927"/>
                                </a:lnTo>
                                <a:lnTo>
                                  <a:pt x="18233" y="13093"/>
                                </a:lnTo>
                                <a:lnTo>
                                  <a:pt x="18551" y="12259"/>
                                </a:lnTo>
                                <a:lnTo>
                                  <a:pt x="18932" y="11425"/>
                                </a:lnTo>
                                <a:lnTo>
                                  <a:pt x="19186" y="10592"/>
                                </a:lnTo>
                                <a:lnTo>
                                  <a:pt x="19504" y="9674"/>
                                </a:lnTo>
                                <a:lnTo>
                                  <a:pt x="19821" y="9924"/>
                                </a:lnTo>
                                <a:lnTo>
                                  <a:pt x="20139" y="10258"/>
                                </a:lnTo>
                                <a:lnTo>
                                  <a:pt x="20393" y="10592"/>
                                </a:lnTo>
                                <a:lnTo>
                                  <a:pt x="20711" y="10842"/>
                                </a:lnTo>
                                <a:lnTo>
                                  <a:pt x="20965" y="11092"/>
                                </a:lnTo>
                                <a:lnTo>
                                  <a:pt x="21155" y="11342"/>
                                </a:lnTo>
                                <a:lnTo>
                                  <a:pt x="21409" y="11592"/>
                                </a:lnTo>
                                <a:lnTo>
                                  <a:pt x="21600" y="11842"/>
                                </a:lnTo>
                                <a:lnTo>
                                  <a:pt x="21219" y="13010"/>
                                </a:lnTo>
                                <a:lnTo>
                                  <a:pt x="20647" y="14344"/>
                                </a:lnTo>
                                <a:lnTo>
                                  <a:pt x="19821" y="16012"/>
                                </a:lnTo>
                                <a:lnTo>
                                  <a:pt x="18805" y="17514"/>
                                </a:lnTo>
                                <a:lnTo>
                                  <a:pt x="17788" y="18931"/>
                                </a:lnTo>
                                <a:lnTo>
                                  <a:pt x="16772" y="20182"/>
                                </a:lnTo>
                                <a:lnTo>
                                  <a:pt x="15755" y="21100"/>
                                </a:lnTo>
                                <a:lnTo>
                                  <a:pt x="14929" y="21600"/>
                                </a:lnTo>
                                <a:lnTo>
                                  <a:pt x="10927" y="20266"/>
                                </a:lnTo>
                                <a:lnTo>
                                  <a:pt x="11372" y="20099"/>
                                </a:lnTo>
                                <a:lnTo>
                                  <a:pt x="11753" y="20015"/>
                                </a:lnTo>
                                <a:lnTo>
                                  <a:pt x="12198" y="19849"/>
                                </a:lnTo>
                                <a:lnTo>
                                  <a:pt x="12579" y="19765"/>
                                </a:lnTo>
                                <a:lnTo>
                                  <a:pt x="12896" y="19598"/>
                                </a:lnTo>
                                <a:lnTo>
                                  <a:pt x="13278" y="19515"/>
                                </a:lnTo>
                                <a:lnTo>
                                  <a:pt x="13595" y="19348"/>
                                </a:lnTo>
                                <a:lnTo>
                                  <a:pt x="13976" y="19098"/>
                                </a:lnTo>
                                <a:lnTo>
                                  <a:pt x="12769" y="17597"/>
                                </a:lnTo>
                                <a:lnTo>
                                  <a:pt x="11816" y="17847"/>
                                </a:lnTo>
                                <a:lnTo>
                                  <a:pt x="10864" y="18014"/>
                                </a:lnTo>
                                <a:lnTo>
                                  <a:pt x="9911" y="18264"/>
                                </a:lnTo>
                                <a:lnTo>
                                  <a:pt x="8894" y="18514"/>
                                </a:lnTo>
                                <a:lnTo>
                                  <a:pt x="7814" y="18681"/>
                                </a:lnTo>
                                <a:lnTo>
                                  <a:pt x="6798" y="18848"/>
                                </a:lnTo>
                                <a:lnTo>
                                  <a:pt x="5781" y="18931"/>
                                </a:lnTo>
                                <a:lnTo>
                                  <a:pt x="4765" y="19098"/>
                                </a:lnTo>
                                <a:lnTo>
                                  <a:pt x="4256" y="18514"/>
                                </a:lnTo>
                                <a:lnTo>
                                  <a:pt x="3875" y="17680"/>
                                </a:lnTo>
                                <a:lnTo>
                                  <a:pt x="3431" y="16930"/>
                                </a:lnTo>
                                <a:lnTo>
                                  <a:pt x="3049" y="16096"/>
                                </a:lnTo>
                                <a:lnTo>
                                  <a:pt x="4066" y="16096"/>
                                </a:lnTo>
                                <a:lnTo>
                                  <a:pt x="5082" y="16012"/>
                                </a:lnTo>
                                <a:lnTo>
                                  <a:pt x="6035" y="15846"/>
                                </a:lnTo>
                                <a:lnTo>
                                  <a:pt x="7052" y="15762"/>
                                </a:lnTo>
                                <a:lnTo>
                                  <a:pt x="7941" y="15679"/>
                                </a:lnTo>
                                <a:lnTo>
                                  <a:pt x="8958" y="15512"/>
                                </a:lnTo>
                                <a:lnTo>
                                  <a:pt x="9784" y="15262"/>
                                </a:lnTo>
                                <a:lnTo>
                                  <a:pt x="10673" y="15095"/>
                                </a:lnTo>
                                <a:lnTo>
                                  <a:pt x="9275" y="13177"/>
                                </a:lnTo>
                                <a:lnTo>
                                  <a:pt x="1842" y="13427"/>
                                </a:lnTo>
                                <a:lnTo>
                                  <a:pt x="1588" y="12760"/>
                                </a:lnTo>
                                <a:lnTo>
                                  <a:pt x="1398" y="12009"/>
                                </a:lnTo>
                                <a:lnTo>
                                  <a:pt x="1144" y="11259"/>
                                </a:lnTo>
                                <a:lnTo>
                                  <a:pt x="953" y="10508"/>
                                </a:lnTo>
                                <a:lnTo>
                                  <a:pt x="7052" y="10258"/>
                                </a:lnTo>
                                <a:lnTo>
                                  <a:pt x="5591" y="8340"/>
                                </a:lnTo>
                                <a:lnTo>
                                  <a:pt x="508" y="8340"/>
                                </a:lnTo>
                                <a:close/>
                              </a:path>
                            </a:pathLst>
                          </a:custGeom>
                          <a:solidFill>
                            <a:srgbClr val="000000"/>
                          </a:solidFill>
                          <a:ln w="12700" cap="flat">
                            <a:noFill/>
                            <a:miter lim="400000"/>
                          </a:ln>
                          <a:effectLst/>
                        </wps:spPr>
                        <wps:bodyPr/>
                      </wps:wsp>
                      <wps:wsp>
                        <wps:cNvPr id="1073741844" name="Shape 1073741844"/>
                        <wps:cNvSpPr/>
                        <wps:spPr>
                          <a:xfrm>
                            <a:off x="273019" y="-2"/>
                            <a:ext cx="153115" cy="149810"/>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0" y="5949"/>
                                </a:moveTo>
                                <a:lnTo>
                                  <a:pt x="807" y="3661"/>
                                </a:lnTo>
                                <a:lnTo>
                                  <a:pt x="1613" y="3844"/>
                                </a:lnTo>
                                <a:lnTo>
                                  <a:pt x="2868" y="4210"/>
                                </a:lnTo>
                                <a:lnTo>
                                  <a:pt x="3495" y="4302"/>
                                </a:lnTo>
                                <a:lnTo>
                                  <a:pt x="4033" y="4576"/>
                                </a:lnTo>
                                <a:lnTo>
                                  <a:pt x="4929" y="4759"/>
                                </a:lnTo>
                                <a:lnTo>
                                  <a:pt x="5288" y="4851"/>
                                </a:lnTo>
                                <a:lnTo>
                                  <a:pt x="1524" y="915"/>
                                </a:lnTo>
                                <a:lnTo>
                                  <a:pt x="2689" y="366"/>
                                </a:lnTo>
                                <a:lnTo>
                                  <a:pt x="3585" y="183"/>
                                </a:lnTo>
                                <a:lnTo>
                                  <a:pt x="4392" y="92"/>
                                </a:lnTo>
                                <a:lnTo>
                                  <a:pt x="5198" y="275"/>
                                </a:lnTo>
                                <a:lnTo>
                                  <a:pt x="5826" y="641"/>
                                </a:lnTo>
                                <a:lnTo>
                                  <a:pt x="7439" y="1922"/>
                                </a:lnTo>
                                <a:lnTo>
                                  <a:pt x="8335" y="2837"/>
                                </a:lnTo>
                                <a:lnTo>
                                  <a:pt x="8873" y="0"/>
                                </a:lnTo>
                                <a:lnTo>
                                  <a:pt x="11651" y="1190"/>
                                </a:lnTo>
                                <a:lnTo>
                                  <a:pt x="11831" y="2563"/>
                                </a:lnTo>
                                <a:lnTo>
                                  <a:pt x="11741" y="3936"/>
                                </a:lnTo>
                                <a:lnTo>
                                  <a:pt x="11562" y="5400"/>
                                </a:lnTo>
                                <a:lnTo>
                                  <a:pt x="11383" y="6773"/>
                                </a:lnTo>
                                <a:lnTo>
                                  <a:pt x="13354" y="8969"/>
                                </a:lnTo>
                                <a:lnTo>
                                  <a:pt x="13802" y="7231"/>
                                </a:lnTo>
                                <a:lnTo>
                                  <a:pt x="14071" y="5766"/>
                                </a:lnTo>
                                <a:lnTo>
                                  <a:pt x="14161" y="4576"/>
                                </a:lnTo>
                                <a:lnTo>
                                  <a:pt x="14340" y="3661"/>
                                </a:lnTo>
                                <a:lnTo>
                                  <a:pt x="17298" y="5949"/>
                                </a:lnTo>
                                <a:lnTo>
                                  <a:pt x="16760" y="8878"/>
                                </a:lnTo>
                                <a:lnTo>
                                  <a:pt x="16222" y="10342"/>
                                </a:lnTo>
                                <a:lnTo>
                                  <a:pt x="15774" y="11807"/>
                                </a:lnTo>
                                <a:lnTo>
                                  <a:pt x="17477" y="14736"/>
                                </a:lnTo>
                                <a:lnTo>
                                  <a:pt x="18105" y="13271"/>
                                </a:lnTo>
                                <a:lnTo>
                                  <a:pt x="18553" y="11624"/>
                                </a:lnTo>
                                <a:lnTo>
                                  <a:pt x="18911" y="9976"/>
                                </a:lnTo>
                                <a:lnTo>
                                  <a:pt x="19359" y="8420"/>
                                </a:lnTo>
                                <a:lnTo>
                                  <a:pt x="20883" y="10159"/>
                                </a:lnTo>
                                <a:lnTo>
                                  <a:pt x="21600" y="11624"/>
                                </a:lnTo>
                                <a:lnTo>
                                  <a:pt x="21600" y="12997"/>
                                </a:lnTo>
                                <a:lnTo>
                                  <a:pt x="21152" y="14186"/>
                                </a:lnTo>
                                <a:lnTo>
                                  <a:pt x="20614" y="15285"/>
                                </a:lnTo>
                                <a:lnTo>
                                  <a:pt x="20256" y="16658"/>
                                </a:lnTo>
                                <a:lnTo>
                                  <a:pt x="20256" y="18031"/>
                                </a:lnTo>
                                <a:lnTo>
                                  <a:pt x="20793" y="19586"/>
                                </a:lnTo>
                                <a:lnTo>
                                  <a:pt x="16850" y="21600"/>
                                </a:lnTo>
                                <a:lnTo>
                                  <a:pt x="15774" y="19586"/>
                                </a:lnTo>
                                <a:lnTo>
                                  <a:pt x="14340" y="19586"/>
                                </a:lnTo>
                                <a:lnTo>
                                  <a:pt x="12727" y="19403"/>
                                </a:lnTo>
                                <a:lnTo>
                                  <a:pt x="11024" y="19220"/>
                                </a:lnTo>
                                <a:lnTo>
                                  <a:pt x="7439" y="18488"/>
                                </a:lnTo>
                                <a:lnTo>
                                  <a:pt x="5378" y="18031"/>
                                </a:lnTo>
                                <a:lnTo>
                                  <a:pt x="3316" y="17481"/>
                                </a:lnTo>
                                <a:lnTo>
                                  <a:pt x="1165" y="16841"/>
                                </a:lnTo>
                                <a:lnTo>
                                  <a:pt x="986" y="16017"/>
                                </a:lnTo>
                                <a:lnTo>
                                  <a:pt x="896" y="15285"/>
                                </a:lnTo>
                                <a:lnTo>
                                  <a:pt x="807" y="14736"/>
                                </a:lnTo>
                                <a:lnTo>
                                  <a:pt x="807" y="14186"/>
                                </a:lnTo>
                                <a:lnTo>
                                  <a:pt x="2778" y="14644"/>
                                </a:lnTo>
                                <a:lnTo>
                                  <a:pt x="6363" y="15559"/>
                                </a:lnTo>
                                <a:lnTo>
                                  <a:pt x="8066" y="15834"/>
                                </a:lnTo>
                                <a:lnTo>
                                  <a:pt x="9680" y="16108"/>
                                </a:lnTo>
                                <a:lnTo>
                                  <a:pt x="11114" y="16292"/>
                                </a:lnTo>
                                <a:lnTo>
                                  <a:pt x="12368" y="16383"/>
                                </a:lnTo>
                                <a:lnTo>
                                  <a:pt x="13623" y="16383"/>
                                </a:lnTo>
                                <a:lnTo>
                                  <a:pt x="12458" y="15102"/>
                                </a:lnTo>
                                <a:lnTo>
                                  <a:pt x="11024" y="14278"/>
                                </a:lnTo>
                                <a:lnTo>
                                  <a:pt x="9321" y="13637"/>
                                </a:lnTo>
                                <a:lnTo>
                                  <a:pt x="7618" y="13180"/>
                                </a:lnTo>
                                <a:lnTo>
                                  <a:pt x="5736" y="12722"/>
                                </a:lnTo>
                                <a:lnTo>
                                  <a:pt x="3944" y="12447"/>
                                </a:lnTo>
                                <a:lnTo>
                                  <a:pt x="2061" y="11990"/>
                                </a:lnTo>
                                <a:lnTo>
                                  <a:pt x="359" y="11349"/>
                                </a:lnTo>
                                <a:lnTo>
                                  <a:pt x="269" y="10800"/>
                                </a:lnTo>
                                <a:lnTo>
                                  <a:pt x="90" y="9976"/>
                                </a:lnTo>
                                <a:lnTo>
                                  <a:pt x="0" y="9244"/>
                                </a:lnTo>
                                <a:lnTo>
                                  <a:pt x="0" y="8420"/>
                                </a:lnTo>
                                <a:lnTo>
                                  <a:pt x="1882" y="8969"/>
                                </a:lnTo>
                                <a:lnTo>
                                  <a:pt x="3495" y="9610"/>
                                </a:lnTo>
                                <a:lnTo>
                                  <a:pt x="5019" y="9976"/>
                                </a:lnTo>
                                <a:lnTo>
                                  <a:pt x="6363" y="10342"/>
                                </a:lnTo>
                                <a:lnTo>
                                  <a:pt x="7439" y="10708"/>
                                </a:lnTo>
                                <a:lnTo>
                                  <a:pt x="9232" y="11075"/>
                                </a:lnTo>
                                <a:lnTo>
                                  <a:pt x="9859" y="11075"/>
                                </a:lnTo>
                                <a:lnTo>
                                  <a:pt x="8783" y="9793"/>
                                </a:lnTo>
                                <a:lnTo>
                                  <a:pt x="7798" y="8786"/>
                                </a:lnTo>
                                <a:lnTo>
                                  <a:pt x="5646" y="7688"/>
                                </a:lnTo>
                                <a:lnTo>
                                  <a:pt x="4392" y="7322"/>
                                </a:lnTo>
                                <a:lnTo>
                                  <a:pt x="3137" y="7047"/>
                                </a:lnTo>
                                <a:lnTo>
                                  <a:pt x="1703" y="6498"/>
                                </a:lnTo>
                                <a:lnTo>
                                  <a:pt x="0" y="5949"/>
                                </a:lnTo>
                                <a:close/>
                              </a:path>
                            </a:pathLst>
                          </a:custGeom>
                          <a:solidFill>
                            <a:srgbClr val="000000"/>
                          </a:solidFill>
                          <a:ln w="12700" cap="flat">
                            <a:noFill/>
                            <a:miter lim="400000"/>
                          </a:ln>
                          <a:effectLst/>
                        </wps:spPr>
                        <wps:bodyPr/>
                      </wps:wsp>
                    </wpg:wgp>
                  </a:graphicData>
                </a:graphic>
              </wp:anchor>
            </w:drawing>
          </mc:Choice>
          <mc:Fallback>
            <w:pict>
              <v:group id="_x0000_s1027" style="visibility:visible;position:absolute;margin-left:-3.3pt;margin-top:13.6pt;width:47.6pt;height:54.0pt;z-index:251662336;mso-position-horizontal:absolute;mso-position-horizontal-relative:text;mso-position-vertical:absolute;mso-position-vertical-relative:line;mso-wrap-distance-left:12.0pt;mso-wrap-distance-top:12.0pt;mso-wrap-distance-right:12.0pt;mso-wrap-distance-bottom:12.0pt;" coordorigin="-1,-1" coordsize="603948,685823">
                <w10:wrap type="through" side="bothSides" anchorx="text"/>
                <v:shape id="_x0000_s1028" style="position:absolute;left:335924;top:529613;width:58408;height:49506;" coordorigin="0,0" coordsize="21600,21600" path="M 21600,14123 L 5635,21600 L 0,3046 L 13617,0 L 14557,1662 L 15496,3600 L 16435,5262 L 17609,7200 L 19487,10523 L 20661,12185 L 21600,14123 X E">
                  <v:fill color="#000000" opacity="100.0%" type="solid"/>
                  <v:stroke on="f" weight="1.0pt" dashstyle="solid" endcap="flat" miterlimit="400.0%" joinstyle="miter" linestyle="single" startarrow="none" startarrowwidth="medium" startarrowlength="medium" endarrow="none" endarrowwidth="medium" endarrowlength="medium"/>
                </v:shape>
                <v:shape id="_x0000_s1029" style="position:absolute;left:387328;top:512413;width:37506;height:36805;" coordorigin="0,0" coordsize="21600,21600" path="M 0,7076 L 8054,4097 L 10983,2607 L 13912,1490 L 16108,1117 L 18671,372 L 20136,0 L 21600,0 L 9153,21600 L 7322,18993 L 4027,14524 L 1098,10055 L 0,7076 X E">
                  <v:fill color="#000000" opacity="100.0%" type="solid"/>
                  <v:stroke on="f" weight="1.0pt" dashstyle="solid" endcap="flat" miterlimit="400.0%" joinstyle="miter" linestyle="single" startarrow="none" startarrowwidth="medium" startarrowlength="medium" endarrow="none" endarrowwidth="medium" endarrowlength="medium"/>
                </v:shape>
                <v:shape id="_x0000_s1030" style="position:absolute;left:370827;top:473012;width:71109;height:39405;" coordorigin="0,0" coordsize="21600,21600" path="M 3279,21600 L 0,5226 L 4436,3484 L 7521,2090 L 9836,697 L 11571,0 L 13114,0 L 15043,1045 L 17743,3484 L 21600,7316 L 19286,9406 L 17164,11497 L 12536,14981 L 10221,17071 L 5593,19858 L 3279,21600 X E">
                  <v:fill color="#000000" opacity="100.0%" type="solid"/>
                  <v:stroke on="f" weight="1.0pt" dashstyle="solid" endcap="flat" miterlimit="400.0%" joinstyle="miter" linestyle="single" startarrow="none" startarrowwidth="medium" startarrowlength="medium" endarrow="none" endarrowwidth="medium" endarrowlength="medium"/>
                </v:shape>
                <v:shape id="_x0000_s1031" style="position:absolute;left:433731;top:455312;width:18405;height:16504;" coordorigin="0,0" coordsize="21600,21600" path="M 14897,21600 L 0,9969 L 21600,0 L 14897,21600 X E">
                  <v:fill color="#000000" opacity="100.0%" type="solid"/>
                  <v:stroke on="f" weight="1.0pt" dashstyle="solid" endcap="flat" miterlimit="400.0%" joinstyle="miter" linestyle="single" startarrow="none" startarrowwidth="medium" startarrowlength="medium" endarrow="none" endarrowwidth="medium" endarrowlength="medium"/>
                </v:shape>
                <v:shape id="_x0000_s1032" style="position:absolute;left:397528;top:397510;width:70509;height:54606;" coordorigin="0,0" coordsize="21600,21600" path="M 13816,4019 L 16735,7284 L 17903,6781 L 19070,6028 L 20043,5274 L 20822,4019 L 18292,1507 L 21600,0 L 19849,13060 L 7395,21600 L 6616,20093 L 5838,18837 L 4865,17079 L 3892,15572 L 2919,13563 L 1946,11805 L 1168,9544 L 0,7284 L 13816,4019 X E">
                  <v:fill color="#000000" opacity="100.0%" type="solid"/>
                  <v:stroke on="f" weight="1.0pt" dashstyle="solid" endcap="flat" miterlimit="400.0%" joinstyle="miter" linestyle="single" startarrow="none" startarrowwidth="medium" startarrowlength="medium" endarrow="none" endarrowwidth="medium" endarrowlength="medium"/>
                </v:shape>
                <v:shape id="_x0000_s1033" style="position:absolute;left:379127;top:366409;width:51408;height:36205;" coordorigin="0,0" coordsize="21600,21600" path="M 21600,17432 L 5600,21600 L 4000,18189 L 1333,9095 L 0,3789 L 14933,0 L 21600,17432 X E">
                  <v:fill color="#000000" opacity="100.0%" type="solid"/>
                  <v:stroke on="f" weight="1.0pt" dashstyle="solid" endcap="flat" miterlimit="400.0%" joinstyle="miter" linestyle="single" startarrow="none" startarrowwidth="medium" startarrowlength="medium" endarrow="none" endarrowwidth="medium" endarrowlength="medium"/>
                </v:shape>
                <v:shape id="_x0000_s1034" style="position:absolute;left:430531;top:353709;width:38106;height:33605;" coordorigin="0,0" coordsize="21600,21600" path="M 0,6521 L 17640,0 L 18720,4483 L 19800,9374 L 20880,13449 L 21600,17932 L 17280,18340 L 13680,19970 L 9360,21600 L 7920,20785 L 5760,18340 L 3240,14264 L 0,6521 X E">
                  <v:fill color="#000000" opacity="100.0%" type="solid"/>
                  <v:stroke on="f" weight="1.0pt" dashstyle="solid" endcap="flat" miterlimit="400.0%" joinstyle="miter" linestyle="single" startarrow="none" startarrowwidth="medium" startarrowlength="medium" endarrow="none" endarrowwidth="medium" endarrowlength="medium"/>
                </v:shape>
                <v:shape id="_x0000_s1035" style="position:absolute;left:102807;top:549214;width:41907;height:40705;" coordorigin="0,0" coordsize="21600,21600" path="M 21600,21600 L 7200,21262 L 0,0 L 12436,0 L 21600,21600 X E">
                  <v:fill color="#000000" opacity="100.0%" type="solid"/>
                  <v:stroke on="f" weight="1.0pt" dashstyle="solid" endcap="flat" miterlimit="400.0%" joinstyle="miter" linestyle="single" startarrow="none" startarrowwidth="medium" startarrowlength="medium" endarrow="none" endarrowwidth="medium" endarrowlength="medium"/>
                </v:shape>
                <v:shape id="_x0000_s1036" style="position:absolute;left:144710;top:545414;width:57808;height:41305;" coordorigin="0,0" coordsize="21600,21600" path="M 14954,0 L 21600,17280 L 19464,17945 L 17327,18942 L 15191,19606 L 13292,19938 L 9495,21268 L 7596,21268 L 5934,21600 L 0,1994 L 14954,0 X E">
                  <v:fill color="#000000" opacity="100.0%" type="solid"/>
                  <v:stroke on="f" weight="1.0pt" dashstyle="solid" endcap="flat" miterlimit="400.0%" joinstyle="miter" linestyle="single" startarrow="none" startarrowwidth="medium" startarrowlength="medium" endarrow="none" endarrowwidth="medium" endarrowlength="medium"/>
                </v:shape>
                <v:shape id="_x0000_s1037" style="position:absolute;left:128209;top:494613;width:48307;height:41905;" coordorigin="0,0" coordsize="21600,21600" path="M 5116,21600 L 0,0 L 15347,0 L 21600,19309 L 5116,21600 X E">
                  <v:fill color="#000000" opacity="100.0%" type="solid"/>
                  <v:stroke on="f" weight="1.0pt" dashstyle="solid" endcap="flat" miterlimit="400.0%" joinstyle="miter" linestyle="single" startarrow="none" startarrowwidth="medium" startarrowlength="medium" endarrow="none" endarrowwidth="medium" endarrowlength="medium"/>
                </v:shape>
                <v:shape id="_x0000_s1038" style="position:absolute;left:178412;top:486412;width:62908;height:42505;" coordorigin="0,0" coordsize="21600,21600" path="M 5236,21278 L 0,2257 L 15491,0 L 21600,14507 L 19855,15152 L 18109,16442 L 16364,17087 L 14400,18054 L 12218,18699 L 10036,19666 L 7636,20310 L 5236,21600 L 5236,21278 X E">
                  <v:fill color="#000000" opacity="100.0%" type="solid"/>
                  <v:stroke on="f" weight="1.0pt" dashstyle="solid" endcap="flat" miterlimit="400.0%" joinstyle="miter" linestyle="single" startarrow="none" startarrowwidth="medium" startarrowlength="medium" endarrow="none" endarrowwidth="medium" endarrowlength="medium"/>
                </v:shape>
                <v:shape id="_x0000_s1039" style="position:absolute;left:164411;top:441311;width:55308;height:36205;" coordorigin="0,0" coordsize="21600,21600" path="M 7697,21600 L 4221,21600 L 0,0 L 14897,0 L 21600,19326 L 7697,21600 X E">
                  <v:fill color="#000000" opacity="100.0%" type="solid"/>
                  <v:stroke on="f" weight="1.0pt" dashstyle="solid" endcap="flat" miterlimit="400.0%" joinstyle="miter" linestyle="single" startarrow="none" startarrowwidth="medium" startarrowlength="medium" endarrow="none" endarrowwidth="medium" endarrowlength="medium"/>
                </v:shape>
                <v:shape id="_x0000_s1040" style="position:absolute;left:219715;top:435611;width:53308;height:36205;" coordorigin="0,0" coordsize="21600,21600" path="M 0,3411 L 5657,1895 L 9514,758 L 12343,0 L 14143,379 L 15686,1895 L 17229,4926 L 19029,9853 L 21600,16295 L 20314,17053 L 18257,17811 L 16457,18568 L 14143,19705 L 10029,20463 L 7714,21221 L 6171,21600 L 0,3411 X E">
                  <v:fill angle="0fd" focus="0%" colors="59.0% #B1C3C0" color="#A7A899" opacity="61.2%" color2="#B1C3C0" o:opacity2="100.0%" type="gradientUnscaled"/>
                  <v:stroke on="f" weight="1.0pt" dashstyle="solid" endcap="flat" miterlimit="400.0%" joinstyle="miter" linestyle="single" startarrow="none" startarrowwidth="medium" startarrowlength="medium" endarrow="none" endarrowwidth="medium" endarrowlength="medium"/>
                </v:shape>
                <v:shape id="_x0000_s1041" style="position:absolute;left:205114;top:393010;width:46307;height:34305;" coordorigin="0,0" coordsize="21600,21600" path="M 4142,21600 L 0,1600 L 16866,0 L 21600,17200 L 4142,21600 X E">
                  <v:fill color="#000000" opacity="100.0%" type="solid"/>
                  <v:stroke on="f" weight="1.0pt" dashstyle="solid" endcap="flat" miterlimit="400.0%" joinstyle="miter" linestyle="single" startarrow="none" startarrowwidth="medium" startarrowlength="medium" endarrow="none" endarrowwidth="medium" endarrowlength="medium"/>
                </v:shape>
                <v:shape id="_x0000_s1042" style="position:absolute;left:66604;top:290207;width:254022;height:395615;" coordorigin="0,0" coordsize="21600,21600" path="M 14310,15602 L 13554,16261 L 12582,16919 L 11610,17682 L 10476,18480 L 9342,19208 L 8154,19901 L 6912,20525 L 5778,21045 L 4590,21427 L 3564,21600 L 2538,21600 L 1674,21392 L 972,20872 L 432,20040 L 108,18930 L 0,17405 L 54,16330 L 270,15186 L 648,14007 L 1080,12759 L 1674,11476 L 2430,10228 L 3240,8980 L 4266,7766 L 5292,6622 L 6480,5513 L 7776,4507 L 9180,3606 L 10638,2878 L 12204,2219 L 13824,1768 L 15606,1491 L 15984,1422 L 16578,1352 L 17172,1248 L 17874,1109 L 18468,901 L 18954,693 L 19332,416 L 19440,104 L 21600,0 L 21006,1491 L 21060,2531 L 21438,3571 L 21600,5027 L 21492,6171 L 21114,7350 L 20628,8598 L 19818,9916 L 18738,11268 L 17496,12655 L 15984,14111 L 14310,15602 L 13014,15775 L 11556,13764 L 12096,13695 L 12744,13591 L 13500,13452 L 14310,13279 L 15066,13140 L 15714,12967 L 16254,12724 L 16578,12516 L 16362,12204 L 16092,11892 L 15876,11649 L 15660,11372 L 15390,11199 L 15174,10956 L 14958,10783 L 14688,10644 L 16254,10505 L 17442,10401 L 18306,10228 L 18846,9951 L 19008,9604 L 18900,9118 L 18414,8529 L 17550,7697 L 19440,7350 L 19440,6761 L 17118,6865 L 16740,6345 L 16524,5929 L 16362,5651 L 16254,5443 L 16632,5443 L 17118,5409 L 17496,5409 L 17928,5374 L 18414,5339 L 18792,5270 L 19224,5235 L 19602,5166 L 19602,4507 L 15984,4681 L 15714,3779 L 15714,3155 L 15336,3190 L 15012,3224 L 14634,3363 L 14310,3467 L 14526,4854 L 11556,4854 L 11340,4022 L 10206,4334 L 10206,4993 L 8640,4993 L 7992,5755 L 10422,5755 L 11070,7489 L 7992,7489 L 7938,7246 L 7830,7073 L 7722,6830 L 7560,6657 L 6642,6865 L 6642,7489 L 6048,7489 L 5724,8252 L 6642,8252 L 7830,10401 L 4914,10401 L 4644,9673 L 3672,9916 L 3672,10401 L 3132,10401 L 3132,11164 L 3834,11164 L 4644,13452 L 3078,13452 L 2646,12967 L 1782,13695 L 2646,16330 L 2592,16365 L 2322,16365 L 2106,16330 L 1782,17127 L 3078,17197 L 3294,17543 L 3564,17856 L 3780,18168 L 4050,18480 L 4320,18757 L 4590,19069 L 4806,19312 L 5130,19589 L 6318,19242 L 4644,17197 L 7128,17127 L 8316,18376 L 9504,18168 L 8532,16989 L 9180,16919 L 10368,16781 L 11016,16677 L 11556,16503 L 12096,16365 L 12582,16087 L 13014,15775 L 14310,15602 X E">
                  <v:fill color="#000000" opacity="100.0%" type="solid"/>
                  <v:stroke on="f" weight="1.0pt" dashstyle="solid" endcap="flat" miterlimit="400.0%" joinstyle="miter" linestyle="single" startarrow="none" startarrowwidth="medium" startarrowlength="medium" endarrow="none" endarrowwidth="medium" endarrowlength="medium"/>
                </v:shape>
                <v:shape id="_x0000_s1043" style="position:absolute;left:208214;top:268606;width:246421;height:403216;" coordorigin="0,0" coordsize="21600,21600" path="M 13194,17314 L 14252,17178 L 13584,17654 L 12860,18164 L 12080,18709 L 11245,19253 L 10299,19763 L 9353,20239 L 8351,20682 L 7348,21056 L 6291,21328 L 5344,21532 L 4342,21600 L 3340,21532 L 2394,21328 L 1559,20954 L 724,20409 L 0,19661 L 1169,18947 L 2338,18198 L 4565,16498 L 5623,15647 L 6625,14695 L 7515,13776 L 8351,12790 L 9074,11837 L 9742,10817 L 10299,9831 L 10633,8776 L 10967,7756 L 11134,6735 L 11134,5749 L 11023,4694 L 10744,3368 L 10744,2653 L 10800,2007 L 10856,1020 L 12080,850 L 12915,646 L 13584,442 L 14140,204 L 14697,68 L 15365,0 L 16256,34 L 17592,170 L 17536,850 L 17759,1395 L 18148,1803 L 18761,2177 L 19485,2517 L 20208,2891 L 20932,3300 L 21600,3844 L 18984,4320 L 18260,3129 L 17091,3300 L 17592,4558 L 14697,4796 L 14252,3844 L 13194,4150 L 13472,5000 L 13751,5817 L 14140,6565 L 14586,7347 L 13918,7483 L 13918,8130 L 15198,8130 L 17313,10137 L 16812,10273 L 16256,10341 L 15254,10477 L 14920,10545 L 14586,10579 L 14196,10613 L 13973,10647 L 13528,9660 L 12303,9660 L 12748,10885 L 12303,10885 L 11913,11667 L 13194,11667 L 13973,13232 L 10856,13640 L 10522,12892 L 9464,13538 L 9798,14389 L 10243,15239 L 10633,16123 L 11190,16940 L 7627,17552 L 7293,16940 L 6179,16940 L 6235,17688 L 5678,17688 L 5233,18437 L 6625,18437 L 6792,18675 L 7014,19015 L 7404,19457 L 7794,19967 L 8963,19661 L 8016,18300 L 11746,17688 L 12136,17960 L 13194,17688 L 13138,17552 L 13138,17348 L 13194,17314 X E">
                  <v:fill color="#000000" opacity="100.0%" type="solid"/>
                  <v:stroke on="f" weight="1.0pt" dashstyle="solid" endcap="flat" miterlimit="400.0%" joinstyle="miter" linestyle="single" startarrow="none" startarrowwidth="medium" startarrowlength="medium" endarrow="none" endarrowwidth="medium" endarrowlength="medium"/>
                </v:shape>
                <v:shape id="_x0000_s1044" style="position:absolute;left:-1;top:144103;width:603948;height:203809;" coordorigin="0,0" coordsize="21600,21600" path="M 7245,2893 L 8109,740 L 8517,1279 L 8881,1817 L 9221,2355 L 9517,2826 L 9835,3297 L 10153,3566 L 10539,3768 L 10970,3836 L 10834,3432 L 10652,3028 L 10493,2624 L 10289,2153 L 10085,1750 L 9630,807 L 9358,336 L 9926,135 L 10357,0 L 10766,0 L 11084,135 L 11379,606 L 11697,1211 L 12015,2153 L 12401,3499 L 13151,3499 L 13060,3095 L 12969,2826 L 12901,2490 L 12810,2086 L 12674,1750 L 12583,1413 L 12447,1009 L 12333,606 L 13332,606 L 14309,4105 L 15286,4441 L 14514,1548 L 14673,1279 L 14786,1077 L 14922,942 L 15036,807 L 15127,673 L 15240,538 L 15331,404 L 15399,336 L 16649,5383 L 17693,6191 L 17671,6056 L 17625,5720 L 17534,5383 L 17444,4979 L 17330,4374 L 17148,3701 L 16989,2893 L 16785,2019 L 18216,3499 L 18602,5181 L 18965,6527 L 19329,7671 L 19738,8680 L 20124,9555 L 20578,10497 L 21055,11507 L 21600,12718 L 20828,15207 L 20487,14535 L 20192,13929 L 19919,13391 L 19692,12987 L 19465,12516 L 19238,12247 L 19033,11978 L 18874,11843 L 18670,11776 L 18488,11776 L 18261,11843 L 18034,12112 L 17784,12314 L 17489,12650 L 17171,13054 L 16830,13525 L 16739,13525 L 16512,13391 L 16399,13256 L 16240,13121 L 16058,12987 L 15899,12718 L 15695,12516 L 17307,9959 L 16853,9488 L 16467,9421 L 16103,9757 L 15740,10295 L 15399,10834 L 15013,11372 L 14559,11641 L 14037,11574 L 14173,11237 L 14332,10834 L 14468,10497 L 14650,10026 L 14832,9622 L 15036,9151 L 15263,8748 L 15490,8277 L 14832,8142 L 14355,8546 L 13946,9151 L 13628,10026 L 13287,10968 L 12924,11843 L 12424,12516 L 11811,12718 L 11992,11978 L 12151,11305 L 12560,9824 L 12765,9151 L 13015,8546 L 13514,7200 L 12560,7200 L 12129,8680 L 11765,9892 L 11447,11036 L 11152,12112 L 10811,13054 L 10425,13862 L 9948,14535 L 9358,15207 L 9517,14467 L 9744,13391 L 10039,12247 L 10357,10901 L 10652,9690 L 10925,8546 L 11107,7738 L 11175,7200 L 10675,7469 L 10221,8142 L 9789,9219 L 9403,10564 L 9062,12112 L 8767,13525 L 8495,15006 L 8245,16284 L 6837,18101 L 6996,17024 L 7177,15880 L 7382,14669 L 7609,13525 L 7836,12314 L 8109,11036 L 8381,9824 L 8676,8546 L 8109,9017 L 7609,10026 L 7177,11305 L 6768,12785 L 6450,14535 L 6155,16284 L 5951,18034 L 5746,19716 L 4702,20254 L 4861,19043 L 5042,17899 L 5201,16755 L 5383,15544 L 5542,14467 L 5746,13391 L 5905,12314 L 6110,11237 L 5179,12112 L 4951,13323 L 4770,14535 L 4588,15813 L 4406,16957 L 4088,19245 L 3861,21398 L 2885,21600 L 2975,20793 L 3044,19985 L 3134,19110 L 3271,18168 L 3407,17159 L 3566,16150 L 3725,15073 L 3929,13996 L 3452,14535 L 3112,15140 L 2862,15880 L 2703,16688 L 2544,17630 L 2430,18707 L 2271,19918 L 2067,21398 L 1249,20523 L 1840,16755 L 1613,17092 L 1408,17428 L 1226,17697 L 1045,17899 L 909,18101 L 750,18370 L 613,18505 L 500,18572 L 318,17764 L 227,17024 L 227,16419 L 363,15948 L 522,15409 L 750,15006 L 1022,14467 L 1295,13996 L 0,13525 L 204,10766 L 681,10834 L 1090,10968 L 1499,11237 L 1862,11439 L 2226,11507 L 2612,11507 L 3021,11305 L 3430,10766 L 3044,10295 L 2657,9892 L 2249,9555 L 1885,9219 L 1522,9017 L 1158,8882 L 772,8748 L 409,8748 L 591,7940 L 954,6594 L 1113,6056 L 1476,6056 L 1817,6191 L 2135,6325 L 2476,6460 L 2794,6662 L 3089,6931 L 3407,7133 L 4293,7738 L 4883,7873 L 5201,7873 L 5497,7738 L 5792,7469 L 6110,7200 L 5837,6864 L 5587,6527 L 5338,6258 L 5065,6056 L 4792,5720 L 4520,5518 L 4270,5316 L 3997,5181 L 3452,4778 L 3180,4710 L 2907,4576 L 2657,4508 L 2385,4508 L 2112,4441 L 1840,4441 L 2226,3768 L 2612,3297 L 3021,2893 L 3384,2692 L 3770,2557 L 4111,2557 L 4497,2624 L 4861,2759 L 5224,2961 L 5587,3297 L 5951,3566 L 6337,3903 L 6700,4374 L 7086,4778 L 7495,5181 L 7881,5585 L 7950,5585 L 8040,5518 L 8109,5450 L 8290,5316 L 8517,5047 L 8631,4845 L 8517,4710 L 8426,4508 L 8268,4374 L 8131,4105 L 7927,3836 L 7745,3566 L 7495,3297 L 7245,2893 X E">
                  <v:fill color="#000000" opacity="100.0%" type="solid"/>
                  <v:stroke on="f" weight="1.0pt" dashstyle="solid" endcap="flat" miterlimit="400.0%" joinstyle="miter" linestyle="single" startarrow="none" startarrowwidth="medium" startarrowlength="medium" endarrow="none" endarrowwidth="medium" endarrowlength="medium"/>
                </v:shape>
                <v:shape id="_x0000_s1045" style="position:absolute;left:35502;top:1899;width:215919;height:164409;" coordorigin="0,0" coordsize="21600,21600" path="M 508,8340 L 0,5171 L 3431,5171 L 2478,3086 L 1969,1501 L 1842,667 L 2096,167 L 2732,167 L 3494,751 L 4447,1751 L 5591,3086 L 5781,1918 L 5908,1001 L 6035,334 L 6035,0 L 8894,1251 L 8894,2419 L 8704,3586 L 8576,5004 L 8386,6422 L 9911,8340 L 10355,6922 L 10673,5504 L 10864,4086 L 10927,2585 L 13214,4503 L 13151,5754 L 12960,7339 L 12706,9090 L 12325,11175 L 13532,12676 L 13976,10925 L 14294,9174 L 14612,7506 L 15120,5921 L 17407,7422 L 17089,9257 L 16772,11175 L 16264,13093 L 15692,15095 L 16708,16263 L 17089,15512 L 17471,14678 L 17788,13927 L 18233,13093 L 18551,12259 L 18932,11425 L 19186,10592 L 19504,9674 L 19821,9924 L 20139,10258 L 20393,10592 L 20711,10842 L 20965,11092 L 21155,11342 L 21409,11592 L 21600,11842 L 21219,13010 L 20647,14344 L 19821,16012 L 18805,17514 L 17788,18931 L 16772,20182 L 15755,21100 L 14929,21600 L 10927,20266 L 11372,20099 L 11753,20015 L 12198,19849 L 12579,19765 L 12896,19598 L 13278,19515 L 13595,19348 L 13976,19098 L 12769,17597 L 11816,17847 L 10864,18014 L 9911,18264 L 8894,18514 L 7814,18681 L 6798,18848 L 5781,18931 L 4765,19098 L 4256,18514 L 3875,17680 L 3431,16930 L 3049,16096 L 4066,16096 L 5082,16012 L 6035,15846 L 7052,15762 L 7941,15679 L 8958,15512 L 9784,15262 L 10673,15095 L 9275,13177 L 1842,13427 L 1588,12760 L 1398,12009 L 1144,11259 L 953,10508 L 7052,10258 L 5591,8340 L 508,8340 X E">
                  <v:fill color="#000000" opacity="100.0%" type="solid"/>
                  <v:stroke on="f" weight="1.0pt" dashstyle="solid" endcap="flat" miterlimit="400.0%" joinstyle="miter" linestyle="single" startarrow="none" startarrowwidth="medium" startarrowlength="medium" endarrow="none" endarrowwidth="medium" endarrowlength="medium"/>
                </v:shape>
                <v:shape id="_x0000_s1046" style="position:absolute;left:273019;top:-1;width:153114;height:149808;" coordorigin="0,0" coordsize="21600,21600" path="M 0,5949 L 807,3661 L 1613,3844 L 2868,4210 L 3495,4302 L 4033,4576 L 4929,4759 L 5288,4851 L 1524,915 L 2689,366 L 3585,183 L 4392,92 L 5198,275 L 5826,641 L 7439,1922 L 8335,2837 L 8873,0 L 11651,1190 L 11831,2563 L 11741,3936 L 11562,5400 L 11383,6773 L 13354,8969 L 13802,7231 L 14071,5766 L 14161,4576 L 14340,3661 L 17298,5949 L 16760,8878 L 16222,10342 L 15774,11807 L 17477,14736 L 18105,13271 L 18553,11624 L 18911,9976 L 19359,8420 L 20883,10159 L 21600,11624 L 21600,12997 L 21152,14186 L 20614,15285 L 20256,16658 L 20256,18031 L 20793,19586 L 16850,21600 L 15774,19586 L 14340,19586 L 12727,19403 L 11024,19220 L 7439,18488 L 5378,18031 L 3316,17481 L 1165,16841 L 986,16017 L 896,15285 L 807,14736 L 807,14186 L 2778,14644 L 6363,15559 L 8066,15834 L 9680,16108 L 11114,16292 L 12368,16383 L 13623,16383 L 12458,15102 L 11024,14278 L 9321,13637 L 7618,13180 L 5736,12722 L 3944,12447 L 2061,11990 L 359,11349 L 269,10800 L 90,9976 L 0,9244 L 0,8420 L 1882,8969 L 3495,9610 L 5019,9976 L 6363,10342 L 7439,10708 L 9232,11075 L 9859,11075 L 8783,9793 L 7798,8786 L 5646,7688 L 4392,7322 L 3137,7047 L 1703,6498 L 0,5949 X E">
                  <v:fill color="#000000" opacity="100.0%" type="solid"/>
                  <v:stroke on="f" weight="1.0pt" dashstyle="solid" endcap="flat" miterlimit="400.0%" joinstyle="miter" linestyle="single" startarrow="none" startarrowwidth="medium" startarrowlength="medium" endarrow="none" endarrowwidth="medium" endarrowlength="medium"/>
                </v:shape>
              </v:group>
            </w:pict>
          </mc:Fallback>
        </mc:AlternateContent>
      </w:r>
      <w:r>
        <w:rPr>
          <w:sz w:val="25"/>
          <w:szCs w:val="25"/>
        </w:rPr>
        <mc:AlternateContent>
          <mc:Choice Requires="wps">
            <w:drawing>
              <wp:anchor distT="57150" distB="57150" distL="57150" distR="57150" simplePos="0" relativeHeight="251659264" behindDoc="0" locked="0" layoutInCell="1" allowOverlap="1">
                <wp:simplePos x="0" y="0"/>
                <wp:positionH relativeFrom="page">
                  <wp:posOffset>533400</wp:posOffset>
                </wp:positionH>
                <wp:positionV relativeFrom="page">
                  <wp:posOffset>676275</wp:posOffset>
                </wp:positionV>
                <wp:extent cx="6743700" cy="781050"/>
                <wp:effectExtent l="0" t="0" r="0" b="0"/>
                <wp:wrapNone/>
                <wp:docPr id="1073741846" name="officeArt object"/>
                <wp:cNvGraphicFramePr/>
                <a:graphic xmlns:a="http://schemas.openxmlformats.org/drawingml/2006/main">
                  <a:graphicData uri="http://schemas.microsoft.com/office/word/2010/wordprocessingShape">
                    <wps:wsp>
                      <wps:cNvSpPr/>
                      <wps:spPr>
                        <a:xfrm>
                          <a:off x="0" y="0"/>
                          <a:ext cx="6743700" cy="781050"/>
                        </a:xfrm>
                        <a:prstGeom prst="rect">
                          <a:avLst/>
                        </a:prstGeom>
                        <a:gradFill flip="none" rotWithShape="1">
                          <a:gsLst>
                            <a:gs pos="0">
                              <a:srgbClr val="DDEBCF"/>
                            </a:gs>
                            <a:gs pos="100000">
                              <a:srgbClr val="9CB86E"/>
                            </a:gs>
                          </a:gsLst>
                          <a:lin ang="5400000" scaled="0"/>
                        </a:gradFill>
                        <a:ln w="12700" cap="flat">
                          <a:noFill/>
                          <a:miter lim="400000"/>
                        </a:ln>
                        <a:effectLst/>
                      </wps:spPr>
                      <wps:bodyPr/>
                    </wps:wsp>
                  </a:graphicData>
                </a:graphic>
              </wp:anchor>
            </w:drawing>
          </mc:Choice>
          <mc:Fallback>
            <w:pict>
              <v:rect id="_x0000_s1047" style="visibility:visible;position:absolute;margin-left:42.0pt;margin-top:53.2pt;width:531.0pt;height:61.5pt;z-index:251659264;mso-position-horizontal:absolute;mso-position-horizontal-relative:page;mso-position-vertical:absolute;mso-position-vertical-relative:page;mso-wrap-distance-left:4.5pt;mso-wrap-distance-top:4.5pt;mso-wrap-distance-right:4.5pt;mso-wrap-distance-bottom:4.5pt;">
                <v:fill angle="0fd" focus="100%" color="#DDEBCF" opacity="100.0%" color2="#9CB86E" o:opacity2="100.0%" type="gradientUnscale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r>
        <w:rPr>
          <w:sz w:val="25"/>
          <w:szCs w:val="25"/>
          <w:rtl w:val="0"/>
        </w:rPr>
        <w:t xml:space="preserve">   </w:t>
      </w:r>
    </w:p>
    <w:p>
      <w:pPr>
        <w:pStyle w:val="Body A"/>
        <w:rPr>
          <w:sz w:val="25"/>
          <w:szCs w:val="25"/>
        </w:rPr>
      </w:pPr>
    </w:p>
    <w:p>
      <w:pPr>
        <w:pStyle w:val="Body A"/>
        <w:rPr>
          <w:sz w:val="25"/>
          <w:szCs w:val="25"/>
        </w:rPr>
      </w:pPr>
    </w:p>
    <w:p>
      <w:pPr>
        <w:pStyle w:val="Body A"/>
        <w:rPr>
          <w:sz w:val="25"/>
          <w:szCs w:val="25"/>
        </w:rPr>
      </w:pPr>
      <w:r>
        <w:rPr>
          <w:sz w:val="25"/>
          <w:szCs w:val="25"/>
        </w:rPr>
        <mc:AlternateContent>
          <mc:Choice Requires="wps">
            <w:drawing>
              <wp:anchor distT="57150" distB="57150" distL="57150" distR="57150" simplePos="0" relativeHeight="251661312" behindDoc="0" locked="0" layoutInCell="1" allowOverlap="1">
                <wp:simplePos x="0" y="0"/>
                <wp:positionH relativeFrom="page">
                  <wp:posOffset>3252082</wp:posOffset>
                </wp:positionH>
                <wp:positionV relativeFrom="page">
                  <wp:posOffset>1144985</wp:posOffset>
                </wp:positionV>
                <wp:extent cx="4834395" cy="278763"/>
                <wp:effectExtent l="0" t="0" r="0" b="0"/>
                <wp:wrapNone/>
                <wp:docPr id="1073741847" name="officeArt object"/>
                <wp:cNvGraphicFramePr/>
                <a:graphic xmlns:a="http://schemas.openxmlformats.org/drawingml/2006/main">
                  <a:graphicData uri="http://schemas.microsoft.com/office/word/2010/wordprocessingShape">
                    <wps:wsp>
                      <wps:cNvSpPr/>
                      <wps:spPr>
                        <a:xfrm>
                          <a:off x="0" y="0"/>
                          <a:ext cx="4834395" cy="278763"/>
                        </a:xfrm>
                        <a:prstGeom prst="rect">
                          <a:avLst/>
                        </a:prstGeom>
                        <a:noFill/>
                        <a:ln w="12700" cap="flat">
                          <a:noFill/>
                          <a:miter lim="400000"/>
                        </a:ln>
                        <a:effectLst/>
                      </wps:spPr>
                      <wps:txbx>
                        <w:txbxContent>
                          <w:p>
                            <w:pPr>
                              <w:pStyle w:val="Address 2"/>
                              <w:jc w:val="left"/>
                            </w:pPr>
                            <w:r>
                              <w:rPr>
                                <w:rFonts w:ascii="Perpetua Titling MT" w:cs="Perpetua Titling MT" w:hAnsi="Perpetua Titling MT" w:eastAsia="Perpetua Titling MT"/>
                                <w:color w:val="360000"/>
                                <w:sz w:val="26"/>
                                <w:szCs w:val="26"/>
                                <w:u w:color="360000"/>
                                <w:rtl w:val="0"/>
                                <w:lang w:val="en-US"/>
                              </w:rPr>
                              <w:t>Yosemite Stanislaus Solutions</w:t>
                            </w:r>
                          </w:p>
                        </w:txbxContent>
                      </wps:txbx>
                      <wps:bodyPr wrap="square" lIns="36193" tIns="36193" rIns="36193" bIns="36193" numCol="1" anchor="t">
                        <a:noAutofit/>
                      </wps:bodyPr>
                    </wps:wsp>
                  </a:graphicData>
                </a:graphic>
              </wp:anchor>
            </w:drawing>
          </mc:Choice>
          <mc:Fallback>
            <w:pict>
              <v:rect id="_x0000_s1048" style="visibility:visible;position:absolute;margin-left:256.1pt;margin-top:90.2pt;width:380.7pt;height:21.9pt;z-index:251661312;mso-position-horizontal:absolute;mso-position-horizontal-relative:page;mso-position-vertical:absolute;mso-position-vertical-relative:page;mso-wrap-distance-left:4.5pt;mso-wrap-distance-top:4.5pt;mso-wrap-distance-right:4.5pt;mso-wrap-distance-bottom:4.5pt;">
                <v:fill on="f"/>
                <v:stroke on="f" weight="1.0pt" dashstyle="solid" endcap="flat" miterlimit="400.0%" joinstyle="miter" linestyle="single" startarrow="none" startarrowwidth="medium" startarrowlength="medium" endarrow="none" endarrowwidth="medium" endarrowlength="medium"/>
                <v:textbox>
                  <w:txbxContent>
                    <w:p>
                      <w:pPr>
                        <w:pStyle w:val="Address 2"/>
                        <w:jc w:val="left"/>
                      </w:pPr>
                      <w:r>
                        <w:rPr>
                          <w:rFonts w:ascii="Perpetua Titling MT" w:cs="Perpetua Titling MT" w:hAnsi="Perpetua Titling MT" w:eastAsia="Perpetua Titling MT"/>
                          <w:color w:val="360000"/>
                          <w:sz w:val="26"/>
                          <w:szCs w:val="26"/>
                          <w:u w:color="360000"/>
                          <w:rtl w:val="0"/>
                          <w:lang w:val="en-US"/>
                        </w:rPr>
                        <w:t>Yosemite Stanislaus Solutions</w:t>
                      </w:r>
                    </w:p>
                  </w:txbxContent>
                </v:textbox>
                <w10:wrap type="none" side="bothSides" anchorx="page" anchory="page"/>
              </v:rect>
            </w:pict>
          </mc:Fallback>
        </mc:AlternateContent>
      </w:r>
    </w:p>
    <w:p>
      <w:pPr>
        <w:pStyle w:val="Body A"/>
        <w:rPr>
          <w:sz w:val="25"/>
          <w:szCs w:val="25"/>
        </w:rPr>
      </w:pPr>
    </w:p>
    <w:p>
      <w:pPr>
        <w:pStyle w:val="Body A"/>
        <w:rPr>
          <w:sz w:val="25"/>
          <w:szCs w:val="25"/>
        </w:rPr>
      </w:pPr>
    </w:p>
    <w:p>
      <w:pPr>
        <w:pStyle w:val="Body A"/>
        <w:rPr>
          <w:sz w:val="25"/>
          <w:szCs w:val="25"/>
        </w:rPr>
      </w:pPr>
    </w:p>
    <w:p>
      <w:pPr>
        <w:pStyle w:val="Body A"/>
        <w:rPr>
          <w:sz w:val="25"/>
          <w:szCs w:val="25"/>
        </w:rPr>
      </w:pPr>
    </w:p>
    <w:p>
      <w:pPr>
        <w:pStyle w:val="Body A A"/>
        <w:rPr>
          <w:sz w:val="25"/>
          <w:szCs w:val="25"/>
        </w:rPr>
      </w:pPr>
      <w:r>
        <w:rPr>
          <w:sz w:val="25"/>
          <w:szCs w:val="25"/>
          <w:rtl w:val="0"/>
          <w:lang w:val="en-US"/>
        </w:rPr>
        <w:t>Date:  April 5,2016</w:t>
      </w:r>
    </w:p>
    <w:p>
      <w:pPr>
        <w:pStyle w:val="Body A A"/>
        <w:rPr>
          <w:rFonts w:ascii="Arial" w:cs="Arial" w:hAnsi="Arial" w:eastAsia="Arial"/>
          <w:sz w:val="25"/>
          <w:szCs w:val="25"/>
        </w:rPr>
      </w:pPr>
    </w:p>
    <w:p>
      <w:pPr>
        <w:pStyle w:val="Body A A"/>
        <w:rPr>
          <w:sz w:val="25"/>
          <w:szCs w:val="25"/>
        </w:rPr>
      </w:pPr>
      <w:r>
        <w:rPr>
          <w:sz w:val="25"/>
          <w:szCs w:val="25"/>
          <w:rtl w:val="0"/>
          <w:lang w:val="en-US"/>
        </w:rPr>
        <w:t>Hon. Mary Nichols</w:t>
      </w:r>
    </w:p>
    <w:p>
      <w:pPr>
        <w:pStyle w:val="Body A A"/>
        <w:rPr>
          <w:sz w:val="25"/>
          <w:szCs w:val="25"/>
        </w:rPr>
      </w:pPr>
      <w:r>
        <w:rPr>
          <w:sz w:val="25"/>
          <w:szCs w:val="25"/>
          <w:rtl w:val="0"/>
          <w:lang w:val="en-US"/>
        </w:rPr>
        <w:t>Chair, Air Resources Board</w:t>
      </w:r>
    </w:p>
    <w:p>
      <w:pPr>
        <w:pStyle w:val="Body A A"/>
        <w:rPr>
          <w:sz w:val="25"/>
          <w:szCs w:val="25"/>
        </w:rPr>
      </w:pPr>
      <w:r>
        <w:rPr>
          <w:sz w:val="25"/>
          <w:szCs w:val="25"/>
          <w:rtl w:val="0"/>
          <w:lang w:val="en-US"/>
        </w:rPr>
        <w:t>1001 I</w:t>
      </w:r>
      <w:r>
        <w:rPr>
          <w:sz w:val="25"/>
          <w:szCs w:val="25"/>
          <w:rtl w:val="0"/>
          <w:lang w:val="nl-NL"/>
        </w:rPr>
        <w:t xml:space="preserve"> Street</w:t>
      </w:r>
    </w:p>
    <w:p>
      <w:pPr>
        <w:pStyle w:val="Body A A"/>
        <w:rPr>
          <w:b w:val="1"/>
          <w:bCs w:val="1"/>
          <w:sz w:val="25"/>
          <w:szCs w:val="25"/>
          <w:lang w:val="pt-PT"/>
        </w:rPr>
      </w:pPr>
      <w:r>
        <w:rPr>
          <w:sz w:val="25"/>
          <w:szCs w:val="25"/>
          <w:rtl w:val="0"/>
          <w:lang w:val="pt-PT"/>
        </w:rPr>
        <w:t>Sacramento, CA 95814</w:t>
      </w:r>
    </w:p>
    <w:p>
      <w:pPr>
        <w:pStyle w:val="Body A A"/>
        <w:rPr>
          <w:rFonts w:ascii="Arial" w:cs="Arial" w:hAnsi="Arial" w:eastAsia="Arial"/>
          <w:sz w:val="25"/>
          <w:szCs w:val="25"/>
        </w:rPr>
      </w:pPr>
    </w:p>
    <w:p>
      <w:pPr>
        <w:pStyle w:val="Body A A"/>
        <w:rPr>
          <w:sz w:val="25"/>
          <w:szCs w:val="25"/>
        </w:rPr>
      </w:pPr>
      <w:r>
        <w:rPr>
          <w:sz w:val="25"/>
          <w:szCs w:val="25"/>
          <w:rtl w:val="0"/>
          <w:lang w:val="en-US"/>
        </w:rPr>
        <w:t>RE: Comments on Healthy Landscapes 2030: California</w:t>
      </w:r>
      <w:r>
        <w:rPr>
          <w:sz w:val="25"/>
          <w:szCs w:val="25"/>
          <w:rtl w:val="0"/>
          <w:lang w:val="en-US"/>
        </w:rPr>
        <w:t>’</w:t>
      </w:r>
      <w:r>
        <w:rPr>
          <w:sz w:val="25"/>
          <w:szCs w:val="25"/>
          <w:rtl w:val="0"/>
          <w:lang w:val="en-US"/>
        </w:rPr>
        <w:t xml:space="preserve">s Climate Change Vision and Goals for Natural and Working Lands </w:t>
      </w:r>
    </w:p>
    <w:p>
      <w:pPr>
        <w:pStyle w:val="Body A A"/>
        <w:rPr>
          <w:rFonts w:ascii="Arial" w:cs="Arial" w:hAnsi="Arial" w:eastAsia="Arial"/>
          <w:sz w:val="25"/>
          <w:szCs w:val="25"/>
        </w:rPr>
      </w:pPr>
    </w:p>
    <w:p>
      <w:pPr>
        <w:pStyle w:val="Body A A"/>
        <w:rPr>
          <w:rFonts w:ascii="Arial" w:cs="Arial" w:hAnsi="Arial" w:eastAsia="Arial"/>
          <w:sz w:val="25"/>
          <w:szCs w:val="25"/>
        </w:rPr>
      </w:pPr>
    </w:p>
    <w:p>
      <w:pPr>
        <w:pStyle w:val="Body A A"/>
        <w:rPr>
          <w:sz w:val="25"/>
          <w:szCs w:val="25"/>
        </w:rPr>
      </w:pPr>
      <w:r>
        <w:rPr>
          <w:sz w:val="25"/>
          <w:szCs w:val="25"/>
          <w:rtl w:val="0"/>
          <w:lang w:val="en-US"/>
        </w:rPr>
        <w:t>Dear Chairwoman Nichols:</w:t>
      </w:r>
    </w:p>
    <w:p>
      <w:pPr>
        <w:pStyle w:val="Body A A"/>
        <w:rPr>
          <w:sz w:val="25"/>
          <w:szCs w:val="25"/>
        </w:rPr>
      </w:pPr>
      <w:r>
        <w:rPr>
          <w:rFonts w:ascii="Arial Unicode MS" w:cs="Arial Unicode MS" w:hAnsi="Arial Unicode MS" w:eastAsia="Arial Unicode MS"/>
          <w:sz w:val="25"/>
          <w:szCs w:val="25"/>
        </w:rPr>
        <w:br w:type="textWrapping"/>
      </w:r>
      <w:r>
        <w:rPr>
          <w:sz w:val="25"/>
          <w:szCs w:val="25"/>
          <w:rtl w:val="0"/>
          <w:lang w:val="en-US"/>
        </w:rPr>
        <w:t>These comments</w:t>
      </w:r>
      <w:r>
        <w:rPr>
          <w:sz w:val="25"/>
          <w:szCs w:val="25"/>
          <w:rtl w:val="0"/>
          <w:lang w:val="en-US"/>
        </w:rPr>
        <w:t> </w:t>
      </w:r>
      <w:r>
        <w:rPr>
          <w:sz w:val="25"/>
          <w:szCs w:val="25"/>
          <w:rtl w:val="0"/>
          <w:lang w:val="en-US"/>
        </w:rPr>
        <w:t>are submitted by the Yosemite Stanislaus Solutions (YSS) collaborative group.  We appreciate the extensive effort  by the ARB staff in compiling this draft and believe it represents an important step forward in recognizing the essential role that healthy landscapes must serve in order to achieve California</w:t>
      </w:r>
      <w:r>
        <w:rPr>
          <w:sz w:val="25"/>
          <w:szCs w:val="25"/>
          <w:rtl w:val="0"/>
          <w:lang w:val="en-US"/>
        </w:rPr>
        <w:t>’</w:t>
      </w:r>
      <w:r>
        <w:rPr>
          <w:sz w:val="25"/>
          <w:szCs w:val="25"/>
          <w:rtl w:val="0"/>
          <w:lang w:val="en-US"/>
        </w:rPr>
        <w:t xml:space="preserve">s laudable and challenging GHG reduction goals.. </w:t>
      </w:r>
      <w:r>
        <w:rPr>
          <w:sz w:val="25"/>
          <w:szCs w:val="25"/>
          <w:rtl w:val="0"/>
          <w:lang w:val="en-US"/>
        </w:rPr>
        <w:t> </w:t>
      </w:r>
    </w:p>
    <w:p>
      <w:pPr>
        <w:pStyle w:val="Body A A"/>
        <w:rPr>
          <w:rFonts w:ascii="Arial" w:cs="Arial" w:hAnsi="Arial" w:eastAsia="Arial"/>
          <w:sz w:val="25"/>
          <w:szCs w:val="25"/>
        </w:rPr>
      </w:pPr>
    </w:p>
    <w:p>
      <w:pPr>
        <w:pStyle w:val="Body A A"/>
        <w:rPr>
          <w:sz w:val="25"/>
          <w:szCs w:val="25"/>
        </w:rPr>
      </w:pPr>
      <w:r>
        <w:rPr>
          <w:sz w:val="25"/>
          <w:szCs w:val="25"/>
          <w:rtl w:val="0"/>
          <w:lang w:val="en-US"/>
        </w:rPr>
        <w:t>Located in Tuolumne County, California, YSS is a collaborative group of diverse interests, ranging from timber companies to environmental organizations to local government representatives, working together to assist public and private land managers in achieving healthy forests and watersheds. There are 27 member organizations and five public agency liaison actively engaged in our process.  (For additional information concerning the collaborative see http://yosemitestanislaussolutions.com/about-yss/).</w:t>
      </w:r>
    </w:p>
    <w:p>
      <w:pPr>
        <w:pStyle w:val="Body A A"/>
        <w:rPr>
          <w:rFonts w:ascii="Arial" w:cs="Arial" w:hAnsi="Arial" w:eastAsia="Arial"/>
          <w:sz w:val="25"/>
          <w:szCs w:val="25"/>
        </w:rPr>
      </w:pPr>
    </w:p>
    <w:p>
      <w:pPr>
        <w:pStyle w:val="Body A A"/>
        <w:rPr>
          <w:sz w:val="25"/>
          <w:szCs w:val="25"/>
        </w:rPr>
      </w:pPr>
      <w:r>
        <w:rPr>
          <w:sz w:val="25"/>
          <w:szCs w:val="25"/>
          <w:rtl w:val="0"/>
          <w:lang w:val="en-US"/>
        </w:rPr>
        <w:t> </w:t>
      </w:r>
      <w:r>
        <w:rPr>
          <w:sz w:val="25"/>
          <w:szCs w:val="25"/>
          <w:rtl w:val="0"/>
          <w:lang w:val="en-US"/>
        </w:rPr>
        <w:t>YSS is committed to restoring and preserving healthy forestlands in California as an essential element of achieving California</w:t>
      </w:r>
      <w:r>
        <w:rPr>
          <w:sz w:val="25"/>
          <w:szCs w:val="25"/>
          <w:rtl w:val="0"/>
          <w:lang w:val="en-US"/>
        </w:rPr>
        <w:t>’</w:t>
      </w:r>
      <w:r>
        <w:rPr>
          <w:sz w:val="25"/>
          <w:szCs w:val="25"/>
          <w:rtl w:val="0"/>
          <w:lang w:val="en-US"/>
        </w:rPr>
        <w:t>s greenhouse gas reduction goals.</w:t>
      </w:r>
      <w:r>
        <w:rPr>
          <w:sz w:val="25"/>
          <w:szCs w:val="25"/>
          <w:rtl w:val="0"/>
          <w:lang w:val="en-US"/>
        </w:rPr>
        <w:t xml:space="preserve">  </w:t>
      </w:r>
    </w:p>
    <w:p>
      <w:pPr>
        <w:pStyle w:val="Body A A"/>
        <w:rPr>
          <w:rFonts w:ascii="Arial" w:cs="Arial" w:hAnsi="Arial" w:eastAsia="Arial"/>
          <w:sz w:val="25"/>
          <w:szCs w:val="25"/>
        </w:rPr>
      </w:pPr>
    </w:p>
    <w:p>
      <w:pPr>
        <w:pStyle w:val="Body A A"/>
        <w:rPr>
          <w:sz w:val="25"/>
          <w:szCs w:val="25"/>
        </w:rPr>
      </w:pPr>
      <w:r>
        <w:rPr>
          <w:sz w:val="25"/>
          <w:szCs w:val="25"/>
          <w:rtl w:val="0"/>
          <w:lang w:val="en-US"/>
        </w:rPr>
        <w:t>Before providing specific comments on the current draft, we wish to convey several overarching factors that we believe still need to be more fully acknowledged in order for appropriate goals and approaches to natural and working lands to be established as part of the overall AB 32 Program.</w:t>
      </w:r>
    </w:p>
    <w:p>
      <w:pPr>
        <w:pStyle w:val="Body A A"/>
        <w:rPr>
          <w:rFonts w:ascii="Arial" w:cs="Arial" w:hAnsi="Arial" w:eastAsia="Arial"/>
          <w:sz w:val="25"/>
          <w:szCs w:val="25"/>
        </w:rPr>
      </w:pPr>
    </w:p>
    <w:p>
      <w:pPr>
        <w:pStyle w:val="Body A A"/>
        <w:rPr>
          <w:sz w:val="25"/>
          <w:szCs w:val="25"/>
        </w:rPr>
      </w:pPr>
      <w:r>
        <w:rPr>
          <w:sz w:val="25"/>
          <w:szCs w:val="25"/>
          <w:rtl w:val="0"/>
          <w:lang w:val="en-US"/>
        </w:rPr>
        <w:t> </w:t>
      </w:r>
      <w:r>
        <w:rPr>
          <w:sz w:val="25"/>
          <w:szCs w:val="25"/>
          <w:rtl w:val="0"/>
          <w:lang w:val="en-US"/>
        </w:rPr>
        <w:t>The stark reality is that California</w:t>
      </w:r>
      <w:r>
        <w:rPr>
          <w:sz w:val="25"/>
          <w:szCs w:val="25"/>
          <w:rtl w:val="0"/>
          <w:lang w:val="en-US"/>
        </w:rPr>
        <w:t>’</w:t>
      </w:r>
      <w:r>
        <w:rPr>
          <w:sz w:val="25"/>
          <w:szCs w:val="25"/>
          <w:rtl w:val="0"/>
          <w:lang w:val="en-US"/>
        </w:rPr>
        <w:t xml:space="preserve">s laudable GHG reduction targets cannot be achieved if we fail to address the growing trend of mega-fires that began before the current drought and according to the recent science will likely worsen in coming decades due to future droughts being hotter.  </w:t>
      </w:r>
    </w:p>
    <w:p>
      <w:pPr>
        <w:pStyle w:val="Body A"/>
        <w:spacing w:line="276" w:lineRule="auto"/>
        <w:rPr>
          <w:color w:val="000000"/>
          <w:kern w:val="0"/>
          <w:sz w:val="25"/>
          <w:szCs w:val="25"/>
          <w:u w:color="000000"/>
          <w:lang w:val="en-US"/>
        </w:rPr>
      </w:pPr>
    </w:p>
    <w:p>
      <w:pPr>
        <w:pStyle w:val="Body A"/>
        <w:spacing w:line="276" w:lineRule="auto"/>
        <w:rPr>
          <w:kern w:val="0"/>
          <w:sz w:val="25"/>
          <w:szCs w:val="25"/>
          <w:u w:color="000000"/>
        </w:rPr>
      </w:pPr>
      <w:r>
        <w:rPr>
          <w:kern w:val="0"/>
          <w:sz w:val="25"/>
          <w:szCs w:val="25"/>
          <w:u w:color="000000"/>
          <w:rtl w:val="0"/>
          <w:lang w:val="en-US"/>
        </w:rPr>
        <w:t xml:space="preserve">Additionally, as was highlighted in the public comments of Lucy Blake, President of the Northern Sierra Partnership, at a Joint USFS-Sierra Nevada Conservancy Public Forum on March 3, 2016, the current accounting by ARB of GHG emissions in California is incomplete and therefore inaccurate by the continued failure to factor in wildfire emissions. Resources Agency Secretary Laird has publicly noted that the Rim Fire alone emitted the equivalent of the annual emission of 2.3 million cars. Perhaps more relevant is that the Rim Fire GHG emissions replaced almost three years of AB 32 program reductions achieved from all other sectors. In fact, the Rim Fire emitted </w:t>
      </w:r>
      <w:r>
        <w:rPr>
          <w:kern w:val="0"/>
          <w:sz w:val="25"/>
          <w:szCs w:val="25"/>
          <w:u w:color="000000"/>
          <w:rtl w:val="0"/>
          <w:lang w:val="en-US"/>
        </w:rPr>
        <w:t>five times</w:t>
      </w:r>
      <w:r>
        <w:rPr>
          <w:kern w:val="0"/>
          <w:sz w:val="25"/>
          <w:szCs w:val="25"/>
          <w:u w:color="000000"/>
          <w:rtl w:val="0"/>
          <w:lang w:val="en-US"/>
        </w:rPr>
        <w:t xml:space="preserve"> more GHG than from the much more publicized Porter Ranch natural gas leak, the largest ever in U.S. history.</w:t>
      </w:r>
    </w:p>
    <w:p>
      <w:pPr>
        <w:pStyle w:val="Body A"/>
        <w:spacing w:line="276" w:lineRule="auto"/>
        <w:rPr>
          <w:kern w:val="0"/>
          <w:sz w:val="25"/>
          <w:szCs w:val="25"/>
          <w:u w:color="000000"/>
          <w:lang w:val="en-US"/>
        </w:rPr>
      </w:pPr>
    </w:p>
    <w:p>
      <w:pPr>
        <w:pStyle w:val="Body A A"/>
        <w:rPr>
          <w:sz w:val="25"/>
          <w:szCs w:val="25"/>
          <w:u w:val="single"/>
        </w:rPr>
      </w:pPr>
      <w:r>
        <w:rPr>
          <w:sz w:val="25"/>
          <w:szCs w:val="25"/>
          <w:u w:val="single"/>
          <w:rtl w:val="0"/>
          <w:lang w:val="en-US"/>
        </w:rPr>
        <w:t>Specific Comments</w:t>
      </w:r>
    </w:p>
    <w:p>
      <w:pPr>
        <w:pStyle w:val="Body A A"/>
        <w:rPr>
          <w:rFonts w:ascii="Arial" w:cs="Arial" w:hAnsi="Arial" w:eastAsia="Arial"/>
          <w:sz w:val="25"/>
          <w:szCs w:val="25"/>
          <w:u w:val="single"/>
        </w:rPr>
      </w:pPr>
    </w:p>
    <w:p>
      <w:pPr>
        <w:pStyle w:val="Body A A"/>
        <w:rPr>
          <w:rFonts w:ascii="Arial" w:cs="Arial" w:hAnsi="Arial" w:eastAsia="Arial"/>
          <w:sz w:val="25"/>
          <w:szCs w:val="25"/>
          <w:u w:val="single"/>
        </w:rPr>
      </w:pPr>
    </w:p>
    <w:p>
      <w:pPr>
        <w:pStyle w:val="Default"/>
        <w:numPr>
          <w:ilvl w:val="0"/>
          <w:numId w:val="2"/>
        </w:numPr>
        <w:bidi w:val="0"/>
        <w:spacing w:after="240"/>
        <w:ind w:right="0"/>
        <w:jc w:val="left"/>
        <w:rPr>
          <w:rFonts w:ascii="Arial" w:cs="Arial" w:hAnsi="Arial" w:eastAsia="Arial"/>
          <w:sz w:val="25"/>
          <w:szCs w:val="25"/>
          <w:rtl w:val="0"/>
          <w:lang w:val="nl-NL"/>
        </w:rPr>
      </w:pPr>
      <w:r>
        <w:rPr>
          <w:rFonts w:ascii="Arial" w:hAnsi="Arial"/>
          <w:b w:val="1"/>
          <w:bCs w:val="1"/>
          <w:color w:val="365f90"/>
          <w:sz w:val="25"/>
          <w:szCs w:val="25"/>
          <w:u w:color="365f90"/>
          <w:rtl w:val="0"/>
          <w:lang w:val="nl-NL"/>
        </w:rPr>
        <w:t xml:space="preserve">Draft Goals </w:t>
      </w:r>
      <w:r>
        <w:rPr>
          <w:rFonts w:ascii="Arial" w:hAnsi="Arial"/>
          <w:b w:val="1"/>
          <w:bCs w:val="1"/>
          <w:color w:val="365f90"/>
          <w:sz w:val="25"/>
          <w:szCs w:val="25"/>
          <w:u w:color="365f90"/>
          <w:rtl w:val="0"/>
          <w:lang w:val="en-US"/>
        </w:rPr>
        <w:t xml:space="preserve">p.3 </w:t>
      </w:r>
      <w:r>
        <w:rPr>
          <w:rFonts w:ascii="Arial" w:hAnsi="Arial" w:hint="default"/>
          <w:sz w:val="25"/>
          <w:szCs w:val="25"/>
          <w:rtl w:val="0"/>
          <w:lang w:val="nl-NL"/>
        </w:rPr>
        <w:t>“</w:t>
      </w:r>
      <w:r>
        <w:rPr>
          <w:rFonts w:ascii="Arial" w:hAnsi="Arial"/>
          <w:sz w:val="25"/>
          <w:szCs w:val="25"/>
          <w:rtl w:val="0"/>
          <w:lang w:val="en-US"/>
        </w:rPr>
        <w:t xml:space="preserve">The 2030 Target Scoping Plan Update will refine these initial goals and implementation mechanisms, and subsequent efforts will build robust frameworks for quantifying and incorporating rapidly progressing science in this area.    </w:t>
      </w:r>
      <w:r>
        <w:rPr>
          <w:rFonts w:ascii="Arial" w:hAnsi="Arial" w:hint="default"/>
          <w:sz w:val="25"/>
          <w:szCs w:val="25"/>
          <w:rtl w:val="0"/>
          <w:lang w:val="en-US"/>
        </w:rPr>
        <w:t>…</w:t>
      </w:r>
      <w:r>
        <w:rPr>
          <w:rFonts w:ascii="Arial" w:hAnsi="Arial"/>
          <w:sz w:val="25"/>
          <w:szCs w:val="25"/>
          <w:rtl w:val="0"/>
          <w:lang w:val="en-US"/>
        </w:rPr>
        <w:t>draft goals expressed as reducing the rate of land converted to development or acres under management</w:t>
      </w:r>
      <w:r>
        <w:rPr>
          <w:rFonts w:ascii="Arial" w:hAnsi="Arial" w:hint="default"/>
          <w:sz w:val="25"/>
          <w:szCs w:val="25"/>
          <w:rtl w:val="0"/>
          <w:lang w:val="en-US"/>
        </w:rPr>
        <w:t xml:space="preserve">… </w:t>
      </w:r>
      <w:r>
        <w:rPr>
          <w:rFonts w:ascii="Arial" w:hAnsi="Arial"/>
          <w:sz w:val="25"/>
          <w:szCs w:val="25"/>
          <w:rtl w:val="0"/>
          <w:lang w:val="en-US"/>
        </w:rPr>
        <w:t>As quantification work progresses, the goals and targets will be converted to more specific estimates.</w:t>
      </w:r>
      <w:r>
        <w:rPr>
          <w:rFonts w:ascii="Arial" w:hAnsi="Arial" w:hint="default"/>
          <w:sz w:val="25"/>
          <w:szCs w:val="25"/>
          <w:rtl w:val="0"/>
          <w:lang w:val="en-US"/>
        </w:rPr>
        <w:t>”</w:t>
      </w:r>
      <w:r>
        <w:rPr>
          <w:rFonts w:ascii="Arial Unicode MS" w:cs="Arial Unicode MS" w:hAnsi="Arial Unicode MS" w:eastAsia="Arial Unicode MS"/>
          <w:sz w:val="25"/>
          <w:szCs w:val="25"/>
          <w:lang w:val="en-US"/>
        </w:rPr>
        <w:br w:type="textWrapping"/>
        <w:br w:type="textWrapping"/>
      </w:r>
      <w:r>
        <w:rPr>
          <w:rFonts w:ascii="Arial" w:hAnsi="Arial"/>
          <w:sz w:val="25"/>
          <w:szCs w:val="25"/>
          <w:rtl w:val="0"/>
          <w:lang w:val="en-US"/>
        </w:rPr>
        <w:t xml:space="preserve">We strongly endorse this progressive approach to refining initial goals and implementation mechanisms. As a prominent scientist in a recent major </w:t>
      </w:r>
      <w:r>
        <w:rPr>
          <w:rFonts w:ascii="Arial" w:hAnsi="Arial"/>
          <w:sz w:val="25"/>
          <w:szCs w:val="25"/>
          <w:u w:val="single"/>
          <w:rtl w:val="0"/>
          <w:lang w:val="en-US"/>
        </w:rPr>
        <w:t>NYTimes</w:t>
      </w:r>
      <w:r>
        <w:rPr>
          <w:rFonts w:ascii="Arial" w:hAnsi="Arial"/>
          <w:sz w:val="25"/>
          <w:szCs w:val="25"/>
          <w:rtl w:val="0"/>
          <w:lang w:val="en-US"/>
        </w:rPr>
        <w:t xml:space="preserve"> article on the role of forest in combatting climate change highlighted, living, biological systems are among the most complex challenges for science to understand or model. In fact, he clearly stated their scientific and technical challenge far exceeds that of landing humans on Mars. Consequently, we need the humility to neither make binding decisions based on our current level of knowledge nor limit our flexibility to incorporate new scientific understandings or technologies as they emerge.</w:t>
      </w:r>
    </w:p>
    <w:p>
      <w:pPr>
        <w:pStyle w:val="Default"/>
        <w:numPr>
          <w:ilvl w:val="0"/>
          <w:numId w:val="3"/>
        </w:numPr>
        <w:bidi w:val="0"/>
        <w:spacing w:after="240"/>
        <w:ind w:right="0"/>
        <w:jc w:val="left"/>
        <w:rPr>
          <w:rFonts w:ascii="Arial" w:cs="Arial" w:hAnsi="Arial" w:eastAsia="Arial"/>
          <w:sz w:val="25"/>
          <w:szCs w:val="25"/>
          <w:rtl w:val="0"/>
          <w:lang w:val="en-US"/>
        </w:rPr>
      </w:pPr>
      <w:r>
        <w:rPr>
          <w:rFonts w:ascii="Arial" w:hAnsi="Arial"/>
          <w:sz w:val="25"/>
          <w:szCs w:val="25"/>
          <w:rtl w:val="0"/>
          <w:lang w:val="en-US"/>
        </w:rPr>
        <w:t xml:space="preserve">Forest Draft Goals, Page 6: It is unclear what </w:t>
      </w:r>
      <w:r>
        <w:rPr>
          <w:rFonts w:ascii="Arial" w:hAnsi="Arial" w:hint="default"/>
          <w:sz w:val="25"/>
          <w:szCs w:val="25"/>
          <w:rtl w:val="0"/>
          <w:lang w:val="en-US"/>
        </w:rPr>
        <w:t>“</w:t>
      </w:r>
      <w:r>
        <w:rPr>
          <w:rFonts w:ascii="Arial" w:hAnsi="Arial"/>
          <w:sz w:val="25"/>
          <w:szCs w:val="25"/>
          <w:rtl w:val="0"/>
          <w:lang w:val="en-US"/>
        </w:rPr>
        <w:t>brought under plans" mean?  Does that mean actual treatment? Does the state goal for "nonfederal lands"imply no GGRF funding for forest treatment work on National Forests and other public lands?  Again, the stark reality is that the State cannot achieve its AB 32 goals unless landscape level forest restoration also occurs on national forest lands as they comprise over 50% of California</w:t>
      </w:r>
      <w:r>
        <w:rPr>
          <w:rFonts w:ascii="Arial" w:hAnsi="Arial" w:hint="default"/>
          <w:sz w:val="25"/>
          <w:szCs w:val="25"/>
          <w:rtl w:val="0"/>
          <w:lang w:val="en-US"/>
        </w:rPr>
        <w:t>’</w:t>
      </w:r>
      <w:r>
        <w:rPr>
          <w:rFonts w:ascii="Arial" w:hAnsi="Arial"/>
          <w:sz w:val="25"/>
          <w:szCs w:val="25"/>
          <w:rtl w:val="0"/>
          <w:lang w:val="en-US"/>
        </w:rPr>
        <w:t xml:space="preserve">s forest lands and are most at risk for future megafires that can overwhelm GHG reduction efforts in other sectors.  The State needs to partner, including financially, in restoring these lands to forest health and fire resiliency to meet its objectives. </w:t>
      </w:r>
    </w:p>
    <w:p>
      <w:pPr>
        <w:pStyle w:val="Body A A"/>
        <w:rPr>
          <w:sz w:val="25"/>
          <w:szCs w:val="25"/>
        </w:rPr>
      </w:pPr>
      <w:r>
        <w:rPr>
          <w:sz w:val="25"/>
          <w:szCs w:val="25"/>
          <w:rtl w:val="0"/>
          <w:lang w:val="en-US"/>
        </w:rPr>
        <w:t>Implementing landscape-level forest treatments would significantly reduce the prospect of larger, more severe wildfires, and over time increase the amount of carbon stored by these forests. YSS supports a robust program of ecological thinning based on the principles applied at the Experimental Forest in Tuolumne County.</w:t>
      </w:r>
      <w:r>
        <w:rPr>
          <w:sz w:val="25"/>
          <w:szCs w:val="25"/>
          <w:rtl w:val="0"/>
          <w:lang w:val="en-US"/>
        </w:rPr>
        <w:t xml:space="preserve">  </w:t>
      </w:r>
      <w:r>
        <w:rPr>
          <w:sz w:val="25"/>
          <w:szCs w:val="25"/>
          <w:rtl w:val="0"/>
          <w:lang w:val="en-US"/>
        </w:rPr>
        <w:t>This differs significantly from traditional thinning practices.</w:t>
      </w:r>
      <w:r>
        <w:rPr>
          <w:sz w:val="25"/>
          <w:szCs w:val="25"/>
          <w:rtl w:val="0"/>
          <w:lang w:val="en-US"/>
        </w:rPr>
        <w:t xml:space="preserve">  </w:t>
      </w:r>
      <w:r>
        <w:rPr>
          <w:sz w:val="25"/>
          <w:szCs w:val="25"/>
          <w:rtl w:val="0"/>
          <w:lang w:val="en-US"/>
        </w:rPr>
        <w:t>Its goal is not simply to achieve better spacing of usually homogenous trees. Rather the key guiding principle is to restore on the ground conditions as close as feasible the to greater ecological health and fire resiliency as historically existed before the 100 year policy of total fire suppression and past management practices changed the very character of the forest.</w:t>
      </w:r>
    </w:p>
    <w:p>
      <w:pPr>
        <w:pStyle w:val="Body A A"/>
        <w:rPr>
          <w:rFonts w:ascii="Arial" w:cs="Arial" w:hAnsi="Arial" w:eastAsia="Arial"/>
          <w:sz w:val="25"/>
          <w:szCs w:val="25"/>
        </w:rPr>
      </w:pPr>
    </w:p>
    <w:p>
      <w:pPr>
        <w:pStyle w:val="Body A A"/>
        <w:rPr>
          <w:sz w:val="25"/>
          <w:szCs w:val="25"/>
        </w:rPr>
      </w:pPr>
      <w:r>
        <w:rPr>
          <w:sz w:val="25"/>
          <w:szCs w:val="25"/>
          <w:rtl w:val="0"/>
          <w:lang w:val="en-US"/>
        </w:rPr>
        <w:t>This innovative and nuanced approach will reduce wildfire risk, increase long term carbon sequestration, and produce substantial co-benefits to wildlife, watersheds, and air quality.</w:t>
      </w:r>
      <w:r>
        <w:rPr>
          <w:sz w:val="25"/>
          <w:szCs w:val="25"/>
          <w:rtl w:val="0"/>
          <w:lang w:val="en-US"/>
        </w:rPr>
        <w:t xml:space="preserve">  </w:t>
      </w:r>
      <w:r>
        <w:rPr>
          <w:sz w:val="25"/>
          <w:szCs w:val="25"/>
          <w:rtl w:val="0"/>
          <w:lang w:val="en-US"/>
        </w:rPr>
        <w:t>This approach is labor intensive and will also benefit disadvantaged communities by increased opportunities for sustained employment and small business development.</w:t>
      </w:r>
      <w:r>
        <w:rPr>
          <w:sz w:val="25"/>
          <w:szCs w:val="25"/>
          <w:rtl w:val="0"/>
          <w:lang w:val="en-US"/>
        </w:rPr>
        <w:t> </w:t>
      </w:r>
    </w:p>
    <w:p>
      <w:pPr>
        <w:pStyle w:val="Body A A"/>
        <w:rPr>
          <w:sz w:val="25"/>
          <w:szCs w:val="25"/>
        </w:rPr>
      </w:pPr>
      <w:r>
        <w:rPr>
          <w:rFonts w:ascii="Arial Unicode MS" w:cs="Arial Unicode MS" w:hAnsi="Arial Unicode MS" w:eastAsia="Arial Unicode MS"/>
        </w:rPr>
        <w:br w:type="textWrapping"/>
      </w:r>
      <w:r>
        <w:rPr>
          <w:rtl w:val="0"/>
        </w:rPr>
        <w:t>Additionally, we urge that the Watershed Improvement Program jointly established by the Sierra Nevada Conservancy and Region 5 of the USFS be added to the existing natural resource management plans that are expected to increase stored carbon resiliency and reduce GHG emissions.</w:t>
      </w:r>
    </w:p>
    <w:p>
      <w:pPr>
        <w:pStyle w:val="Body A A"/>
        <w:rPr>
          <w:rFonts w:ascii="Arial" w:cs="Arial" w:hAnsi="Arial" w:eastAsia="Arial"/>
          <w:sz w:val="25"/>
          <w:szCs w:val="25"/>
        </w:rPr>
      </w:pPr>
    </w:p>
    <w:p>
      <w:pPr>
        <w:pStyle w:val="Body A A"/>
        <w:jc w:val="center"/>
        <w:rPr>
          <w:b w:val="1"/>
          <w:bCs w:val="1"/>
          <w:sz w:val="25"/>
          <w:szCs w:val="25"/>
        </w:rPr>
      </w:pPr>
      <w:r>
        <w:rPr>
          <w:b w:val="1"/>
          <w:bCs w:val="1"/>
          <w:sz w:val="25"/>
          <w:szCs w:val="25"/>
          <w:rtl w:val="0"/>
          <w:lang w:val="en-US"/>
        </w:rPr>
        <w:t>Discussion Topics and Questions for Public Input</w:t>
      </w:r>
    </w:p>
    <w:p>
      <w:pPr>
        <w:pStyle w:val="Body A A"/>
        <w:jc w:val="center"/>
        <w:rPr>
          <w:shd w:val="clear" w:color="auto" w:fill="b1e1a1"/>
        </w:rPr>
      </w:pPr>
    </w:p>
    <w:p>
      <w:pPr>
        <w:pStyle w:val="Body A A"/>
        <w:rPr>
          <w:b w:val="1"/>
          <w:bCs w:val="1"/>
          <w:sz w:val="25"/>
          <w:szCs w:val="25"/>
        </w:rPr>
      </w:pPr>
      <w:r>
        <w:rPr>
          <w:b w:val="1"/>
          <w:bCs w:val="1"/>
          <w:sz w:val="25"/>
          <w:szCs w:val="25"/>
          <w:rtl w:val="0"/>
          <w:lang w:val="en-US"/>
        </w:rPr>
        <w:t>Quantitative Targets for the 2030 Scoping Plan Update</w:t>
      </w:r>
    </w:p>
    <w:p>
      <w:pPr>
        <w:pStyle w:val="Body A A"/>
        <w:rPr>
          <w:rFonts w:ascii="Arial" w:cs="Arial" w:hAnsi="Arial" w:eastAsia="Arial"/>
          <w:b w:val="1"/>
          <w:bCs w:val="1"/>
          <w:sz w:val="25"/>
          <w:szCs w:val="25"/>
        </w:rPr>
      </w:pPr>
    </w:p>
    <w:p>
      <w:pPr>
        <w:pStyle w:val="Body A A"/>
        <w:numPr>
          <w:ilvl w:val="0"/>
          <w:numId w:val="4"/>
        </w:numPr>
        <w:bidi w:val="0"/>
        <w:ind w:right="0"/>
        <w:jc w:val="left"/>
        <w:rPr>
          <w:rFonts w:ascii="Arial" w:cs="Arial" w:hAnsi="Arial" w:eastAsia="Arial"/>
          <w:sz w:val="25"/>
          <w:szCs w:val="25"/>
          <w:u w:val="single"/>
          <w:rtl w:val="0"/>
          <w:lang w:val="en-US"/>
        </w:rPr>
      </w:pPr>
      <w:r>
        <w:rPr>
          <w:rFonts w:ascii="Arial" w:hAnsi="Arial"/>
          <w:sz w:val="25"/>
          <w:szCs w:val="25"/>
          <w:u w:val="single"/>
          <w:rtl w:val="0"/>
          <w:lang w:val="en-US"/>
        </w:rPr>
        <w:t xml:space="preserve">What is the appropriate scale for targets </w:t>
      </w:r>
      <w:r>
        <w:rPr>
          <w:rFonts w:ascii="Arial" w:hAnsi="Arial" w:hint="default"/>
          <w:sz w:val="25"/>
          <w:szCs w:val="25"/>
          <w:u w:val="single"/>
          <w:rtl w:val="0"/>
          <w:lang w:val="en-US"/>
        </w:rPr>
        <w:t xml:space="preserve">– </w:t>
      </w:r>
      <w:r>
        <w:rPr>
          <w:rFonts w:ascii="Arial" w:hAnsi="Arial"/>
          <w:sz w:val="25"/>
          <w:szCs w:val="25"/>
          <w:u w:val="single"/>
          <w:rtl w:val="0"/>
          <w:lang w:val="en-US"/>
        </w:rPr>
        <w:t>e.g., statewide, regional, subregional?</w:t>
      </w:r>
    </w:p>
    <w:p>
      <w:pPr>
        <w:pStyle w:val="Body A A"/>
        <w:rPr>
          <w:sz w:val="25"/>
          <w:szCs w:val="25"/>
        </w:rPr>
      </w:pPr>
      <w:r>
        <w:rPr>
          <w:sz w:val="25"/>
          <w:szCs w:val="25"/>
          <w:rtl w:val="0"/>
          <w:lang w:val="en-US"/>
        </w:rPr>
        <w:t>The appropriate geographic scale depends on the target; thus what is likely best for forests would be different than what is best for rangelands.  Nonetheless, given the considerable geographic diversity of California it would be good to have regional quantifying activities and progress that could be easily rolled up to a statewide accounting, as needed.  This would certainly be relevant for forests, given how diverse forests are in different parts of the state.  There are some well agreed upon delineations of eco-regions that should be considered.</w:t>
      </w:r>
    </w:p>
    <w:p>
      <w:pPr>
        <w:pStyle w:val="Body A A"/>
        <w:rPr>
          <w:rFonts w:ascii="Arial" w:cs="Arial" w:hAnsi="Arial" w:eastAsia="Arial"/>
          <w:sz w:val="25"/>
          <w:szCs w:val="25"/>
        </w:rPr>
      </w:pPr>
    </w:p>
    <w:p>
      <w:pPr>
        <w:pStyle w:val="Body A A"/>
        <w:numPr>
          <w:ilvl w:val="0"/>
          <w:numId w:val="4"/>
        </w:numPr>
        <w:bidi w:val="0"/>
        <w:ind w:right="0"/>
        <w:jc w:val="left"/>
        <w:rPr>
          <w:rFonts w:ascii="Arial" w:cs="Arial" w:hAnsi="Arial" w:eastAsia="Arial"/>
          <w:sz w:val="25"/>
          <w:szCs w:val="25"/>
          <w:u w:val="single"/>
          <w:rtl w:val="0"/>
          <w:lang w:val="en-US"/>
        </w:rPr>
      </w:pPr>
      <w:r>
        <w:rPr>
          <w:rFonts w:ascii="Arial" w:hAnsi="Arial"/>
          <w:sz w:val="25"/>
          <w:szCs w:val="25"/>
          <w:u w:val="single"/>
          <w:rtl w:val="0"/>
          <w:lang w:val="en-US"/>
        </w:rPr>
        <w:t>What is the appropriate timescale, and what principles will be applied in choosing timeframes over which outcomes are assessed?</w:t>
      </w:r>
    </w:p>
    <w:p>
      <w:pPr>
        <w:pStyle w:val="Body A A"/>
        <w:rPr>
          <w:sz w:val="25"/>
          <w:szCs w:val="25"/>
          <w:u w:val="single"/>
        </w:rPr>
      </w:pPr>
      <w:r>
        <w:rPr>
          <w:sz w:val="25"/>
          <w:szCs w:val="25"/>
          <w:u w:val="none"/>
          <w:rtl w:val="0"/>
          <w:lang w:val="en-US"/>
        </w:rPr>
        <w:t>Again, the appropriate time scale depends on the target.  There are stark differences for what is meaningful; for example annual farm crops vs. redwood forest with at least 80 year rotations.  The primary basis for choosing a timeframe could be average harvest rotation. This could be divided into three or four categories; such as an annual reporting timeframe, once in five years, and once in 10 years to capture periodic outputs from long-rotational products such as timberlands or natural lands such as wetlands</w:t>
      </w:r>
      <w:r>
        <w:rPr>
          <w:sz w:val="25"/>
          <w:szCs w:val="25"/>
          <w:u w:val="single"/>
          <w:rtl w:val="0"/>
          <w:lang w:val="en-US"/>
        </w:rPr>
        <w:t>.</w:t>
      </w:r>
    </w:p>
    <w:p>
      <w:pPr>
        <w:pStyle w:val="Body A A"/>
        <w:numPr>
          <w:ilvl w:val="0"/>
          <w:numId w:val="5"/>
        </w:numPr>
        <w:bidi w:val="0"/>
        <w:ind w:right="0"/>
        <w:jc w:val="left"/>
        <w:rPr>
          <w:rFonts w:ascii="Arial" w:cs="Arial" w:hAnsi="Arial" w:eastAsia="Arial"/>
          <w:b w:val="1"/>
          <w:bCs w:val="1"/>
          <w:sz w:val="25"/>
          <w:szCs w:val="25"/>
          <w:rtl w:val="0"/>
          <w:lang w:val="en-US"/>
        </w:rPr>
      </w:pPr>
      <w:r>
        <w:rPr>
          <w:rFonts w:ascii="Arial" w:hAnsi="Arial"/>
          <w:b w:val="0"/>
          <w:bCs w:val="0"/>
          <w:sz w:val="25"/>
          <w:szCs w:val="25"/>
          <w:rtl w:val="0"/>
          <w:lang w:val="en-US"/>
        </w:rPr>
        <w:t>For forests, the metrics should be acres of ecological thinning and prescribed burning.  Agencies could report annually on progress.</w:t>
      </w:r>
      <w:r>
        <w:rPr>
          <w:rFonts w:ascii="Arial" w:hAnsi="Arial"/>
          <w:b w:val="1"/>
          <w:bCs w:val="1"/>
          <w:sz w:val="25"/>
          <w:szCs w:val="25"/>
          <w:rtl w:val="0"/>
          <w:lang w:val="en-US"/>
        </w:rPr>
        <w:t xml:space="preserve">  </w:t>
      </w:r>
    </w:p>
    <w:p>
      <w:pPr>
        <w:pStyle w:val="Body A A"/>
        <w:numPr>
          <w:ilvl w:val="0"/>
          <w:numId w:val="4"/>
        </w:numPr>
        <w:bidi w:val="0"/>
        <w:ind w:right="0"/>
        <w:jc w:val="left"/>
        <w:rPr>
          <w:rFonts w:ascii="Arial" w:cs="Arial" w:hAnsi="Arial" w:eastAsia="Arial"/>
          <w:sz w:val="25"/>
          <w:szCs w:val="25"/>
          <w:rtl w:val="0"/>
          <w:lang w:val="en-US"/>
        </w:rPr>
      </w:pPr>
      <w:r>
        <w:rPr>
          <w:rFonts w:ascii="Arial" w:hAnsi="Arial"/>
          <w:sz w:val="25"/>
          <w:szCs w:val="25"/>
          <w:rtl w:val="0"/>
          <w:lang w:val="en-US"/>
        </w:rPr>
        <w:t xml:space="preserve">Scale for targets should not be simply the acreage of individual projects since these projects benefit the fire resiliency and thereby carbon sequestration potential of adjacent lands. </w:t>
      </w:r>
    </w:p>
    <w:p>
      <w:pPr>
        <w:pStyle w:val="Body A A"/>
        <w:numPr>
          <w:ilvl w:val="0"/>
          <w:numId w:val="4"/>
        </w:numPr>
        <w:bidi w:val="0"/>
        <w:ind w:right="0"/>
        <w:jc w:val="left"/>
        <w:rPr>
          <w:rFonts w:ascii="Arial" w:cs="Arial" w:hAnsi="Arial" w:eastAsia="Arial"/>
          <w:sz w:val="25"/>
          <w:szCs w:val="25"/>
          <w:rtl w:val="0"/>
          <w:lang w:val="en-US"/>
        </w:rPr>
      </w:pPr>
      <w:r>
        <w:rPr>
          <w:rFonts w:ascii="Arial" w:hAnsi="Arial"/>
          <w:sz w:val="25"/>
          <w:szCs w:val="25"/>
          <w:rtl w:val="0"/>
          <w:lang w:val="en-US"/>
        </w:rPr>
        <w:t xml:space="preserve">Time-scale for forests should be long term recognizing as stated in the draft FCAT report that short term declines in carbon storage resulting from ecological thinning and prescribed fire are more than offset by reduced future fire emissions and increased sequestration in bigger older trees. We are note currently able to recommend a specific time frame and what principles to apply. </w:t>
      </w:r>
    </w:p>
    <w:p>
      <w:pPr>
        <w:pStyle w:val="Body A A"/>
        <w:rPr>
          <w:rFonts w:ascii="Arial" w:cs="Arial" w:hAnsi="Arial" w:eastAsia="Arial"/>
          <w:sz w:val="25"/>
          <w:szCs w:val="25"/>
        </w:rPr>
      </w:pPr>
    </w:p>
    <w:p>
      <w:pPr>
        <w:pStyle w:val="Body A A"/>
        <w:rPr>
          <w:rFonts w:ascii="Arial Unicode MS" w:cs="Arial Unicode MS" w:hAnsi="Arial Unicode MS" w:eastAsia="Arial Unicode MS"/>
          <w:sz w:val="25"/>
          <w:szCs w:val="25"/>
        </w:rPr>
      </w:pPr>
      <w:r>
        <w:rPr>
          <w:sz w:val="25"/>
          <w:szCs w:val="25"/>
          <w:u w:val="single"/>
          <w:rtl w:val="0"/>
          <w:lang w:val="en-US"/>
        </w:rPr>
        <w:t xml:space="preserve">What implementation mechanisms already exist to advance the draft goals included in this document, and where are new implementation mechanisms needed? What sort of implementation mechanisms </w:t>
      </w:r>
      <w:r>
        <w:rPr>
          <w:sz w:val="25"/>
          <w:szCs w:val="25"/>
          <w:u w:val="single"/>
          <w:rtl w:val="0"/>
          <w:lang w:val="en-US"/>
        </w:rPr>
        <w:t xml:space="preserve">– </w:t>
      </w:r>
      <w:r>
        <w:rPr>
          <w:sz w:val="25"/>
          <w:szCs w:val="25"/>
          <w:u w:val="single"/>
          <w:rtl w:val="0"/>
          <w:lang w:val="en-US"/>
        </w:rPr>
        <w:t xml:space="preserve">policy, regulation, incentive-based programs, tax credits, etc. </w:t>
      </w:r>
      <w:r>
        <w:rPr>
          <w:sz w:val="25"/>
          <w:szCs w:val="25"/>
          <w:u w:val="single"/>
          <w:rtl w:val="0"/>
          <w:lang w:val="en-US"/>
        </w:rPr>
        <w:t xml:space="preserve">– </w:t>
      </w:r>
      <w:r>
        <w:rPr>
          <w:sz w:val="25"/>
          <w:szCs w:val="25"/>
          <w:u w:val="single"/>
          <w:rtl w:val="0"/>
          <w:lang w:val="en-US"/>
        </w:rPr>
        <w:t>should be employed to advance natural and working lands goals</w:t>
      </w:r>
      <w:r>
        <w:rPr>
          <w:rFonts w:ascii="Arial Unicode MS" w:cs="Arial Unicode MS" w:hAnsi="Arial Unicode MS" w:eastAsia="Arial Unicode MS"/>
          <w:sz w:val="25"/>
          <w:szCs w:val="25"/>
          <w:u w:val="single"/>
        </w:rPr>
        <w:br w:type="textWrapping"/>
      </w:r>
      <w:r>
        <w:rPr>
          <w:sz w:val="25"/>
          <w:szCs w:val="25"/>
          <w:rtl w:val="0"/>
          <w:lang w:val="en-US"/>
        </w:rPr>
        <w:t xml:space="preserve">For forests the FIA program will undoubtedly be a source of important data for tracking forest conditions.  FIA is a national, standardized program that provides a variety of forest stand measurements across a systematic grid of plots.  FIA data will offer quantification of forests that can be extrapolated to any locality using statistical tools.  As mentioned in the concept paper for the Forest Carbon Plan LiDAR data also offers strong promise for much more precise characterization of forest structure over time, particularly as costs go down.  LiDAR offers potential for quantifying above-ground carbon pools over large areas and across diverse areas.  More work is likely needed to increase the reliability and accuracy of measurement of below-ground carbon pools, particularly in different ecosystem types such as wetlands.   </w:t>
      </w:r>
      <w:r>
        <w:rPr>
          <w:rFonts w:ascii="Arial Unicode MS" w:cs="Arial Unicode MS" w:hAnsi="Arial Unicode MS" w:eastAsia="Arial Unicode MS"/>
          <w:sz w:val="25"/>
          <w:szCs w:val="25"/>
        </w:rPr>
        <w:br w:type="textWrapping"/>
        <w:br w:type="textWrapping"/>
      </w:r>
      <w:r>
        <w:rPr>
          <w:sz w:val="25"/>
          <w:szCs w:val="25"/>
          <w:u w:val="single"/>
          <w:rtl w:val="0"/>
          <w:lang w:val="en-US"/>
        </w:rPr>
        <w:t>Engaging Local Communities through Innovation:</w:t>
      </w:r>
      <w:r>
        <w:rPr>
          <w:sz w:val="25"/>
          <w:szCs w:val="25"/>
          <w:rtl w:val="0"/>
          <w:lang w:val="en-US"/>
        </w:rPr>
        <w:t xml:space="preserve">  </w:t>
      </w:r>
      <w:r>
        <w:rPr>
          <w:rFonts w:ascii="Arial Unicode MS" w:cs="Arial Unicode MS" w:hAnsi="Arial Unicode MS" w:eastAsia="Arial Unicode MS"/>
          <w:sz w:val="25"/>
          <w:szCs w:val="25"/>
        </w:rPr>
        <w:br w:type="textWrapping"/>
      </w:r>
      <w:r>
        <w:rPr>
          <w:rFonts w:ascii="Arial Unicode MS" w:hAnsi="Arial Unicode MS"/>
          <w:sz w:val="25"/>
          <w:szCs w:val="25"/>
          <w:rtl w:val="0"/>
          <w:lang w:val="en-US"/>
        </w:rPr>
        <w:t xml:space="preserve">We applaud your recognition that engaging local communities in making needed changes, particularly when achieving doing so, involves innovation. As time has repeatedly demonstrated, having a scientifically-based plan is not sufficient to assuring its implementation.   Without sufficient public understanding and support, many otherwise promising plans have literally gathered dust on a shelf and are soon forgotten. Not only does this waste an opportunity to make needed, timely  changes, it often re-enforces public skepticism about the capacity of government to get things done, especially in a manner respectful of local needs and concerns. </w:t>
      </w:r>
    </w:p>
    <w:p>
      <w:pPr>
        <w:pStyle w:val="Body A A"/>
        <w:rPr>
          <w:rFonts w:ascii="Arial Unicode MS" w:cs="Arial Unicode MS" w:hAnsi="Arial Unicode MS" w:eastAsia="Arial Unicode MS"/>
          <w:sz w:val="25"/>
          <w:szCs w:val="25"/>
        </w:rPr>
      </w:pPr>
    </w:p>
    <w:p>
      <w:pPr>
        <w:pStyle w:val="Body A A"/>
      </w:pPr>
      <w:r>
        <w:rPr>
          <w:rFonts w:ascii="Arial Unicode MS" w:hAnsi="Arial Unicode MS"/>
          <w:sz w:val="25"/>
          <w:szCs w:val="25"/>
          <w:rtl w:val="0"/>
          <w:lang w:val="en-US"/>
        </w:rPr>
        <w:t xml:space="preserve">One USFS District Ranger well articulated the value of broad-based, locally supported programs as </w:t>
      </w:r>
      <w:r>
        <w:rPr>
          <w:rFonts w:ascii="Arial Unicode MS" w:hAnsi="Arial Unicode MS" w:hint="default"/>
          <w:sz w:val="25"/>
          <w:szCs w:val="25"/>
          <w:rtl w:val="0"/>
          <w:lang w:val="en-US"/>
        </w:rPr>
        <w:t>“</w:t>
      </w:r>
      <w:r>
        <w:rPr>
          <w:rFonts w:ascii="Arial Unicode MS" w:hAnsi="Arial Unicode MS"/>
          <w:sz w:val="25"/>
          <w:szCs w:val="25"/>
          <w:rtl w:val="0"/>
          <w:lang w:val="en-US"/>
        </w:rPr>
        <w:t xml:space="preserve">providing the social license to do the work.  As a collaborative that has now invested almost six years in building a strong foundation of understanding and support for a scientifically-sound to restore the health and fire resilience of the almost 1 million acre Stanislaus National Forest, we stand ready to partner with the State and federal government in implementing this landscape-level approach.  We urge that you </w:t>
      </w:r>
      <w:r>
        <w:rPr>
          <w:sz w:val="25"/>
          <w:szCs w:val="25"/>
          <w:rtl w:val="0"/>
          <w:lang w:val="en-US"/>
        </w:rPr>
        <w:t xml:space="preserve">give priority support of forest restoration projects developed and supported by regional, multi-interest  collaboratives such as YSS. We are confident that this will expedite implementing plans that can make a difference. </w:t>
      </w:r>
    </w:p>
    <w:p>
      <w:pPr>
        <w:pStyle w:val="Body A A"/>
        <w:rPr>
          <w:rFonts w:ascii="Arial" w:cs="Arial" w:hAnsi="Arial" w:eastAsia="Arial"/>
          <w:sz w:val="25"/>
          <w:szCs w:val="25"/>
        </w:rPr>
      </w:pPr>
    </w:p>
    <w:p>
      <w:pPr>
        <w:pStyle w:val="Body A A"/>
        <w:rPr>
          <w:sz w:val="25"/>
          <w:szCs w:val="25"/>
        </w:rPr>
      </w:pPr>
      <w:r>
        <w:rPr>
          <w:sz w:val="25"/>
          <w:szCs w:val="25"/>
          <w:u w:val="single"/>
          <w:rtl w:val="0"/>
          <w:lang w:val="en-US"/>
        </w:rPr>
        <w:t>Land Use Valuation and Co-Benefits:</w:t>
      </w:r>
      <w:r>
        <w:rPr>
          <w:sz w:val="25"/>
          <w:szCs w:val="25"/>
          <w:rtl w:val="0"/>
          <w:lang w:val="en-US"/>
        </w:rPr>
        <w:t xml:space="preserve"> </w:t>
      </w:r>
      <w:r>
        <w:rPr>
          <w:rFonts w:ascii="Arial Unicode MS" w:cs="Arial Unicode MS" w:hAnsi="Arial Unicode MS" w:eastAsia="Arial Unicode MS"/>
          <w:sz w:val="25"/>
          <w:szCs w:val="25"/>
        </w:rPr>
        <w:br w:type="textWrapping"/>
      </w:r>
      <w:r>
        <w:rPr>
          <w:rFonts w:ascii="Arial Unicode MS" w:hAnsi="Arial Unicode MS"/>
          <w:sz w:val="25"/>
          <w:szCs w:val="25"/>
          <w:rtl w:val="0"/>
          <w:lang w:val="en-US"/>
        </w:rPr>
        <w:t>We strongly urge that you c</w:t>
      </w:r>
      <w:r>
        <w:rPr>
          <w:sz w:val="25"/>
          <w:szCs w:val="25"/>
          <w:rtl w:val="0"/>
          <w:lang w:val="en-US"/>
        </w:rPr>
        <w:t xml:space="preserve">onsider cost savings of reduced megafire fire fighting cost and community losses as a result of ecological thinning and prescribed fire.  While specific tools are not currently available to do so with high confidence, development of such empirical data and modeling tools should be a high priority. </w:t>
      </w:r>
    </w:p>
    <w:p>
      <w:pPr>
        <w:pStyle w:val="Body A A"/>
        <w:rPr>
          <w:sz w:val="25"/>
          <w:szCs w:val="25"/>
        </w:rPr>
      </w:pPr>
    </w:p>
    <w:p>
      <w:pPr>
        <w:pStyle w:val="Body A A"/>
        <w:rPr>
          <w:sz w:val="25"/>
          <w:szCs w:val="25"/>
        </w:rPr>
      </w:pPr>
      <w:r>
        <w:rPr>
          <w:sz w:val="25"/>
          <w:szCs w:val="25"/>
          <w:rtl w:val="0"/>
          <w:lang w:val="en-US"/>
        </w:rPr>
        <w:t>This challenge is quite similar to when ARB made the commitment to address California</w:t>
      </w:r>
      <w:r>
        <w:rPr>
          <w:sz w:val="25"/>
          <w:szCs w:val="25"/>
          <w:rtl w:val="0"/>
          <w:lang w:val="en-US"/>
        </w:rPr>
        <w:t>’</w:t>
      </w:r>
      <w:r>
        <w:rPr>
          <w:sz w:val="25"/>
          <w:szCs w:val="25"/>
          <w:rtl w:val="0"/>
          <w:lang w:val="en-US"/>
        </w:rPr>
        <w:t xml:space="preserve">s vehicular emission control needs. Reliable modeling and emission control technologies did not yet exist. Yet by ARB making a commitment to public health needs and taking a leap of faith that science could catch up with what common sense clearly recognized was needed, ARB created the incentives that led to a leap in technology and scientific understandings that have made ARB the World-Class leader on auto emission controls. Your foresight and leadership are now equally needed in making breakthroughs in reversing the current trend of our forests becoming mass emitters of GHG. </w:t>
      </w:r>
      <w:r>
        <w:rPr>
          <w:rFonts w:ascii="Arial Unicode MS" w:cs="Arial Unicode MS" w:hAnsi="Arial Unicode MS" w:eastAsia="Arial Unicode MS"/>
          <w:sz w:val="25"/>
          <w:szCs w:val="25"/>
        </w:rPr>
        <w:br w:type="textWrapping"/>
        <w:br w:type="textWrapping"/>
      </w:r>
      <w:r>
        <w:rPr>
          <w:rFonts w:ascii="Arial Unicode MS" w:hAnsi="Arial Unicode MS"/>
          <w:sz w:val="25"/>
          <w:szCs w:val="25"/>
          <w:rtl w:val="0"/>
          <w:lang w:val="en-US"/>
        </w:rPr>
        <w:t>Additionally, e</w:t>
      </w:r>
      <w:r>
        <w:rPr>
          <w:sz w:val="25"/>
          <w:szCs w:val="25"/>
          <w:rtl w:val="0"/>
          <w:lang w:val="en-US"/>
        </w:rPr>
        <w:t>cological thinning and prescribed fire are complementary to other environmental objectives, which should to the extent feasible be economically valued in your decisions. .</w:t>
      </w:r>
    </w:p>
    <w:p>
      <w:pPr>
        <w:pStyle w:val="Body A A"/>
        <w:rPr>
          <w:rFonts w:ascii="Arial" w:cs="Arial" w:hAnsi="Arial" w:eastAsia="Arial"/>
          <w:sz w:val="25"/>
          <w:szCs w:val="25"/>
        </w:rPr>
      </w:pPr>
    </w:p>
    <w:p>
      <w:pPr>
        <w:pStyle w:val="Body A A"/>
        <w:jc w:val="center"/>
        <w:rPr>
          <w:b w:val="1"/>
          <w:bCs w:val="1"/>
          <w:sz w:val="25"/>
          <w:szCs w:val="25"/>
        </w:rPr>
      </w:pPr>
      <w:r>
        <w:rPr>
          <w:b w:val="1"/>
          <w:bCs w:val="1"/>
          <w:sz w:val="25"/>
          <w:szCs w:val="25"/>
          <w:rtl w:val="0"/>
          <w:lang w:val="en-US"/>
        </w:rPr>
        <w:t>Supplemental Comments</w:t>
      </w:r>
    </w:p>
    <w:p>
      <w:pPr>
        <w:pStyle w:val="Body A A"/>
        <w:jc w:val="center"/>
        <w:rPr>
          <w:b w:val="1"/>
          <w:bCs w:val="1"/>
          <w:sz w:val="25"/>
          <w:szCs w:val="25"/>
        </w:rPr>
      </w:pPr>
    </w:p>
    <w:p>
      <w:pPr>
        <w:pStyle w:val="Body A A"/>
        <w:rPr>
          <w:shd w:val="clear" w:color="auto" w:fill="fefefe"/>
        </w:rPr>
      </w:pPr>
      <w:r>
        <w:rPr>
          <w:sz w:val="25"/>
          <w:szCs w:val="25"/>
          <w:rtl w:val="0"/>
          <w:lang w:val="en-US"/>
        </w:rPr>
        <w:t xml:space="preserve">We provide these additional comments in our Appendix. These were part of our submittal on </w:t>
      </w:r>
      <w:r>
        <w:rPr>
          <w:sz w:val="25"/>
          <w:szCs w:val="25"/>
          <w:u w:val="single"/>
          <w:rtl w:val="0"/>
          <w:lang w:val="en-US"/>
        </w:rPr>
        <w:t xml:space="preserve">Draft Funding Guidelines for Agencies that Administer California Climate </w:t>
      </w:r>
      <w:r>
        <w:rPr>
          <w:sz w:val="25"/>
          <w:szCs w:val="25"/>
          <w:rtl w:val="0"/>
          <w:lang w:val="en-US"/>
        </w:rPr>
        <w:t xml:space="preserve">Investments. We believe they are equally relevant to issues raised in the </w:t>
      </w:r>
      <w:r>
        <w:rPr>
          <w:sz w:val="25"/>
          <w:szCs w:val="25"/>
          <w:u w:val="single"/>
          <w:rtl w:val="0"/>
          <w:lang w:val="en-US"/>
        </w:rPr>
        <w:t>Healthy Landscapes 2030: California</w:t>
      </w:r>
      <w:r>
        <w:rPr>
          <w:sz w:val="25"/>
          <w:szCs w:val="25"/>
          <w:u w:val="single"/>
          <w:rtl w:val="0"/>
          <w:lang w:val="en-US"/>
        </w:rPr>
        <w:t>’</w:t>
      </w:r>
      <w:r>
        <w:rPr>
          <w:sz w:val="25"/>
          <w:szCs w:val="25"/>
          <w:u w:val="single"/>
          <w:rtl w:val="0"/>
          <w:lang w:val="en-US"/>
        </w:rPr>
        <w:t>s Climate Change Vision and Goals for Natural and Working Lands.</w:t>
      </w:r>
    </w:p>
    <w:p>
      <w:pPr>
        <w:pStyle w:val="Body A A"/>
        <w:widowControl w:val="0"/>
        <w:spacing w:after="200"/>
        <w:rPr>
          <w:rFonts w:ascii="Arial" w:cs="Arial" w:hAnsi="Arial" w:eastAsia="Arial"/>
          <w:i w:val="1"/>
          <w:iCs w:val="1"/>
          <w:sz w:val="25"/>
          <w:szCs w:val="25"/>
          <w:shd w:val="clear" w:color="auto" w:fill="c0c0c0"/>
        </w:rPr>
      </w:pPr>
    </w:p>
    <w:p>
      <w:pPr>
        <w:pStyle w:val="Body A A"/>
        <w:rPr>
          <w:sz w:val="25"/>
          <w:szCs w:val="25"/>
        </w:rPr>
      </w:pPr>
      <w:r>
        <w:rPr>
          <w:sz w:val="25"/>
          <w:szCs w:val="25"/>
          <w:rtl w:val="0"/>
          <w:lang w:val="en-US"/>
        </w:rPr>
        <w:t>Thank you for your consideration of our comments. Please contact John Amodio, -YSS AB 32 Working Group Coordinator, [(916) 764-7575] should you have any questions concerning these comments.</w:t>
      </w:r>
      <w:r>
        <w:rPr>
          <w:sz w:val="25"/>
          <w:szCs w:val="25"/>
          <w:rtl w:val="0"/>
          <w:lang w:val="en-US"/>
        </w:rPr>
        <w:t> </w:t>
      </w:r>
    </w:p>
    <w:p>
      <w:pPr>
        <w:pStyle w:val="Body A A"/>
        <w:rPr>
          <w:rFonts w:ascii="Arial" w:cs="Arial" w:hAnsi="Arial" w:eastAsia="Arial"/>
          <w:sz w:val="25"/>
          <w:szCs w:val="25"/>
        </w:rPr>
      </w:pPr>
    </w:p>
    <w:p>
      <w:pPr>
        <w:pStyle w:val="Body A A"/>
        <w:rPr>
          <w:rFonts w:ascii="Arial" w:cs="Arial" w:hAnsi="Arial" w:eastAsia="Arial"/>
          <w:sz w:val="25"/>
          <w:szCs w:val="25"/>
        </w:rPr>
      </w:pPr>
    </w:p>
    <w:p>
      <w:pPr>
        <w:pStyle w:val="Body A A"/>
        <w:rPr>
          <w:sz w:val="25"/>
          <w:szCs w:val="25"/>
        </w:rPr>
      </w:pPr>
      <w:r>
        <w:rPr>
          <w:sz w:val="25"/>
          <w:szCs w:val="25"/>
          <w:rtl w:val="0"/>
          <w:lang w:val="en-US"/>
        </w:rPr>
        <w:t>Sincerely,</w:t>
      </w:r>
    </w:p>
    <w:p>
      <w:pPr>
        <w:pStyle w:val="Body A"/>
        <w:rPr>
          <w:sz w:val="25"/>
          <w:szCs w:val="25"/>
        </w:rPr>
      </w:pPr>
      <w:r>
        <w:rPr>
          <w:sz w:val="25"/>
          <w:szCs w:val="25"/>
          <w:rtl w:val="0"/>
        </w:rPr>
        <w:t xml:space="preserve">                     </w:t>
        <w:tab/>
      </w:r>
    </w:p>
    <w:p>
      <w:pPr>
        <w:pStyle w:val="Body A"/>
        <w:rPr>
          <w:sz w:val="25"/>
          <w:szCs w:val="25"/>
        </w:rPr>
      </w:pPr>
      <w:r>
        <w:rPr>
          <w:sz w:val="25"/>
          <w:szCs w:val="25"/>
          <w:rtl w:val="0"/>
          <w:lang w:val="en-US"/>
        </w:rPr>
        <w:t>Chris Trott, Chair</w:t>
        <w:tab/>
        <w:tab/>
        <w:t xml:space="preserve">   </w:t>
      </w:r>
    </w:p>
    <w:p>
      <w:pPr>
        <w:pStyle w:val="Body A A"/>
        <w:rPr>
          <w:sz w:val="25"/>
          <w:szCs w:val="25"/>
        </w:rPr>
      </w:pPr>
      <w:r>
        <w:rPr>
          <w:sz w:val="25"/>
          <w:szCs w:val="25"/>
          <w:rtl w:val="0"/>
          <w:lang w:val="en-US"/>
        </w:rPr>
        <w:t xml:space="preserve">Yosemite Stanislaus Solutions               </w:t>
      </w:r>
    </w:p>
    <w:p>
      <w:pPr>
        <w:pStyle w:val="Body A A"/>
        <w:rPr>
          <w:rFonts w:ascii="Arial" w:cs="Arial" w:hAnsi="Arial" w:eastAsia="Arial"/>
          <w:sz w:val="25"/>
          <w:szCs w:val="25"/>
        </w:rPr>
      </w:pPr>
    </w:p>
    <w:p>
      <w:pPr>
        <w:pStyle w:val="Body A A"/>
        <w:rPr>
          <w:sz w:val="25"/>
          <w:szCs w:val="25"/>
        </w:rPr>
      </w:pPr>
      <w:r>
        <w:rPr>
          <w:sz w:val="25"/>
          <w:szCs w:val="25"/>
          <w:rtl w:val="0"/>
          <w:lang w:val="en-US"/>
        </w:rPr>
        <w:t xml:space="preserve">Cc: </w:t>
      </w:r>
      <w:r>
        <w:rPr>
          <w:sz w:val="25"/>
          <w:szCs w:val="25"/>
          <w:rtl w:val="0"/>
          <w:lang w:val="en-US"/>
        </w:rPr>
        <w:t xml:space="preserve">  </w:t>
      </w:r>
      <w:r>
        <w:rPr>
          <w:sz w:val="25"/>
          <w:szCs w:val="25"/>
          <w:rtl w:val="0"/>
          <w:lang w:val="de-DE"/>
        </w:rPr>
        <w:tab/>
        <w:t>Wade Crowfoot, Senior Advisor, Governor Brown</w:t>
      </w:r>
      <w:r>
        <w:rPr>
          <w:rFonts w:ascii="Arial Unicode MS" w:cs="Arial Unicode MS" w:hAnsi="Arial Unicode MS" w:eastAsia="Arial Unicode MS"/>
          <w:sz w:val="25"/>
          <w:szCs w:val="25"/>
          <w:lang w:val="de-DE"/>
        </w:rPr>
        <w:br w:type="textWrapping"/>
      </w:r>
      <w:r>
        <w:rPr>
          <w:sz w:val="25"/>
          <w:szCs w:val="25"/>
          <w:rtl w:val="0"/>
          <w:lang w:val="de-DE"/>
        </w:rPr>
        <w:tab/>
        <w:t>Cliff Rechtschaffen, Senior Advisor, Governor Brown</w:t>
      </w:r>
    </w:p>
    <w:p>
      <w:pPr>
        <w:pStyle w:val="Body A A"/>
        <w:rPr>
          <w:sz w:val="25"/>
          <w:szCs w:val="25"/>
        </w:rPr>
      </w:pPr>
      <w:r>
        <w:rPr>
          <w:sz w:val="25"/>
          <w:szCs w:val="25"/>
          <w:rtl w:val="0"/>
        </w:rPr>
        <w:tab/>
        <w:t>John Laird, Secretary, California</w:t>
      </w:r>
      <w:r>
        <w:rPr>
          <w:sz w:val="25"/>
          <w:szCs w:val="25"/>
          <w:rtl w:val="0"/>
          <w:lang w:val="en-US"/>
        </w:rPr>
        <w:t xml:space="preserve">  </w:t>
      </w:r>
      <w:r>
        <w:rPr>
          <w:sz w:val="25"/>
          <w:szCs w:val="25"/>
          <w:rtl w:val="0"/>
          <w:lang w:val="en-US"/>
        </w:rPr>
        <w:t>Natural Resources Agency</w:t>
      </w:r>
    </w:p>
    <w:p>
      <w:pPr>
        <w:pStyle w:val="Body A A"/>
        <w:rPr>
          <w:sz w:val="25"/>
          <w:szCs w:val="25"/>
        </w:rPr>
      </w:pPr>
      <w:r>
        <w:rPr>
          <w:sz w:val="25"/>
          <w:szCs w:val="25"/>
          <w:rtl w:val="0"/>
        </w:rPr>
        <w:tab/>
        <w:t>Ken Pimlott, Director, CAL FIRE</w:t>
      </w:r>
    </w:p>
    <w:p>
      <w:pPr>
        <w:pStyle w:val="Body A A"/>
        <w:ind w:firstLine="720"/>
        <w:rPr>
          <w:sz w:val="25"/>
          <w:szCs w:val="25"/>
        </w:rPr>
      </w:pPr>
      <w:r>
        <w:rPr>
          <w:sz w:val="25"/>
          <w:szCs w:val="25"/>
          <w:rtl w:val="0"/>
          <w:lang w:val="en-US"/>
        </w:rPr>
        <w:t>Ashley Conrad, Deputy Secretary, CalEPA</w:t>
      </w:r>
    </w:p>
    <w:p>
      <w:pPr>
        <w:pStyle w:val="Body A A"/>
        <w:ind w:firstLine="720"/>
        <w:rPr>
          <w:sz w:val="25"/>
          <w:szCs w:val="25"/>
        </w:rPr>
      </w:pPr>
      <w:r>
        <w:rPr>
          <w:sz w:val="25"/>
          <w:szCs w:val="25"/>
          <w:rtl w:val="0"/>
          <w:lang w:val="de-DE"/>
        </w:rPr>
        <w:t>Eddie Chang,</w:t>
      </w:r>
      <w:r>
        <w:rPr>
          <w:sz w:val="25"/>
          <w:szCs w:val="25"/>
          <w:rtl w:val="0"/>
          <w:lang w:val="en-US"/>
        </w:rPr>
        <w:t xml:space="preserve">  </w:t>
      </w:r>
      <w:r>
        <w:rPr>
          <w:sz w:val="25"/>
          <w:szCs w:val="25"/>
          <w:rtl w:val="0"/>
          <w:lang w:val="en-US"/>
        </w:rPr>
        <w:t>Deputy Executive Office, ARB</w:t>
      </w:r>
    </w:p>
    <w:p>
      <w:pPr>
        <w:pStyle w:val="Body A A"/>
        <w:rPr>
          <w:sz w:val="25"/>
          <w:szCs w:val="25"/>
        </w:rPr>
      </w:pPr>
      <w:r>
        <w:rPr>
          <w:sz w:val="25"/>
          <w:szCs w:val="25"/>
          <w:rtl w:val="0"/>
        </w:rPr>
        <w:tab/>
        <w:t>Russ Henly, Assistant Secretary, California Natural Resources Agency</w:t>
      </w:r>
    </w:p>
    <w:p>
      <w:pPr>
        <w:pStyle w:val="Body A A"/>
        <w:ind w:left="720" w:firstLine="0"/>
        <w:rPr>
          <w:sz w:val="25"/>
          <w:szCs w:val="25"/>
        </w:rPr>
      </w:pPr>
      <w:r>
        <w:rPr>
          <w:sz w:val="25"/>
          <w:szCs w:val="25"/>
          <w:rtl w:val="0"/>
          <w:lang w:val="en-US"/>
        </w:rPr>
        <w:t>Jim Branham, Executive Officer, Sierra Nevada Conservancy</w:t>
      </w:r>
    </w:p>
    <w:p>
      <w:pPr>
        <w:pStyle w:val="Body A A"/>
        <w:rPr>
          <w:sz w:val="25"/>
          <w:szCs w:val="25"/>
        </w:rPr>
      </w:pPr>
      <w:r>
        <w:rPr>
          <w:sz w:val="25"/>
          <w:szCs w:val="25"/>
          <w:rtl w:val="0"/>
          <w:lang w:val="en-US"/>
        </w:rPr>
        <w:t xml:space="preserve"> </w:t>
      </w:r>
    </w:p>
    <w:p>
      <w:pPr>
        <w:pStyle w:val="Body A"/>
        <w:rPr>
          <w:sz w:val="25"/>
          <w:szCs w:val="25"/>
        </w:rPr>
      </w:pPr>
    </w:p>
    <w:p>
      <w:pPr>
        <w:pStyle w:val="Body A"/>
        <w:jc w:val="center"/>
        <w:rPr>
          <w:rFonts w:ascii="Aparajita" w:cs="Aparajita" w:hAnsi="Aparajita" w:eastAsia="Aparajita"/>
          <w:i w:val="1"/>
          <w:iCs w:val="1"/>
          <w:color w:val="0d0d0d"/>
          <w:sz w:val="25"/>
          <w:szCs w:val="25"/>
          <w:u w:color="0d0d0d"/>
        </w:rPr>
      </w:pPr>
      <w:r>
        <w:rPr>
          <w:rFonts w:ascii="Aparajita" w:cs="Aparajita" w:hAnsi="Aparajita" w:eastAsia="Aparajita"/>
          <w:i w:val="1"/>
          <w:iCs w:val="1"/>
          <w:color w:val="0d0d0d"/>
          <w:sz w:val="25"/>
          <w:szCs w:val="25"/>
          <w:u w:color="0d0d0d"/>
          <w:rtl w:val="0"/>
          <w:lang w:val="en-US"/>
        </w:rPr>
        <w:t>15900 Granite Park Way, Sonora, CA  95370</w:t>
      </w:r>
    </w:p>
    <w:p>
      <w:pPr>
        <w:pStyle w:val="Body A"/>
        <w:jc w:val="center"/>
        <w:rPr>
          <w:rFonts w:ascii="Aparajita" w:cs="Aparajita" w:hAnsi="Aparajita" w:eastAsia="Aparajita"/>
          <w:i w:val="1"/>
          <w:iCs w:val="1"/>
          <w:color w:val="0d0d0d"/>
          <w:sz w:val="25"/>
          <w:szCs w:val="25"/>
          <w:u w:color="0d0d0d"/>
          <w:lang w:val="en-US"/>
        </w:rPr>
      </w:pPr>
    </w:p>
    <w:p>
      <w:pPr>
        <w:pStyle w:val="Body A A"/>
        <w:jc w:val="center"/>
        <w:rPr>
          <w:rFonts w:ascii="Arial" w:cs="Arial" w:hAnsi="Arial" w:eastAsia="Arial"/>
          <w:b w:val="1"/>
          <w:bCs w:val="1"/>
          <w:sz w:val="25"/>
          <w:szCs w:val="25"/>
        </w:rPr>
      </w:pPr>
    </w:p>
    <w:p>
      <w:pPr>
        <w:pStyle w:val="Body A A"/>
        <w:rPr>
          <w:sz w:val="25"/>
          <w:szCs w:val="25"/>
        </w:rPr>
      </w:pPr>
      <w:r>
        <w:rPr>
          <w:sz w:val="25"/>
          <w:szCs w:val="25"/>
          <w:rtl w:val="0"/>
          <w:lang w:val="en-US"/>
        </w:rPr>
        <w:t>CalFire funding guidelines already include fuel reduction projects such as we propose.</w:t>
      </w:r>
      <w:r>
        <w:rPr>
          <w:sz w:val="25"/>
          <w:szCs w:val="25"/>
          <w:rtl w:val="0"/>
          <w:lang w:val="en-US"/>
        </w:rPr>
        <w:t xml:space="preserve">  </w:t>
      </w:r>
      <w:r>
        <w:rPr>
          <w:sz w:val="25"/>
          <w:szCs w:val="25"/>
          <w:rtl w:val="0"/>
          <w:lang w:val="en-US"/>
        </w:rPr>
        <w:t xml:space="preserve">For example the CalFire Fuel Reduction Grants webpage states that: </w:t>
      </w:r>
      <w:r>
        <w:rPr>
          <w:sz w:val="25"/>
          <w:szCs w:val="25"/>
          <w:rtl w:val="0"/>
          <w:lang w:val="en-US"/>
        </w:rPr>
        <w:t>“</w:t>
      </w:r>
      <w:r>
        <w:rPr>
          <w:sz w:val="25"/>
          <w:szCs w:val="25"/>
          <w:rtl w:val="0"/>
          <w:lang w:val="en-US"/>
        </w:rPr>
        <w:t>[v]egetation treatment forestry prescriptions will focus on treating understory trees and brush with a goal of reducing fire hazards, improving tree growth, stabilizing carbon in retained trees, and increasing forest resilience</w:t>
      </w:r>
      <w:r>
        <w:rPr>
          <w:sz w:val="25"/>
          <w:szCs w:val="25"/>
          <w:rtl w:val="0"/>
          <w:lang w:val="en-US"/>
        </w:rPr>
        <w:t>”</w:t>
      </w:r>
      <w:r>
        <w:rPr>
          <w:sz w:val="25"/>
          <w:szCs w:val="25"/>
          <w:rtl w:val="0"/>
          <w:lang w:val="en-US"/>
        </w:rPr>
        <w:t>.</w:t>
      </w:r>
      <w:r>
        <w:rPr>
          <w:sz w:val="25"/>
          <w:szCs w:val="25"/>
          <w:rtl w:val="0"/>
          <w:lang w:val="en-US"/>
        </w:rPr>
        <w:t> </w:t>
      </w:r>
    </w:p>
    <w:p>
      <w:pPr>
        <w:pStyle w:val="Body A A"/>
        <w:rPr>
          <w:rFonts w:ascii="Arial" w:cs="Arial" w:hAnsi="Arial" w:eastAsia="Arial"/>
          <w:sz w:val="25"/>
          <w:szCs w:val="25"/>
        </w:rPr>
      </w:pPr>
    </w:p>
    <w:p>
      <w:pPr>
        <w:pStyle w:val="Body A A"/>
        <w:ind w:left="213" w:firstLine="0"/>
        <w:rPr>
          <w:sz w:val="25"/>
          <w:szCs w:val="25"/>
        </w:rPr>
      </w:pPr>
      <w:r>
        <w:rPr>
          <w:sz w:val="25"/>
          <w:szCs w:val="25"/>
          <w:rtl w:val="0"/>
          <w:lang w:val="en-US"/>
        </w:rPr>
        <w:t>The Air Resource Board</w:t>
      </w:r>
      <w:r>
        <w:rPr>
          <w:sz w:val="25"/>
          <w:szCs w:val="25"/>
          <w:rtl w:val="0"/>
          <w:lang w:val="en-US"/>
        </w:rPr>
        <w:t>’</w:t>
      </w:r>
      <w:r>
        <w:rPr>
          <w:sz w:val="25"/>
          <w:szCs w:val="25"/>
          <w:rtl w:val="0"/>
          <w:lang w:val="en-US"/>
        </w:rPr>
        <w:t>s 2014 Scoping plan echoes these facts:</w:t>
      </w:r>
    </w:p>
    <w:p>
      <w:pPr>
        <w:pStyle w:val="Body A A"/>
        <w:ind w:left="213" w:firstLine="0"/>
        <w:rPr>
          <w:rFonts w:ascii="Arial" w:cs="Arial" w:hAnsi="Arial" w:eastAsia="Arial"/>
          <w:sz w:val="25"/>
          <w:szCs w:val="25"/>
        </w:rPr>
      </w:pPr>
    </w:p>
    <w:p>
      <w:pPr>
        <w:pStyle w:val="heading 5"/>
        <w:numPr>
          <w:ilvl w:val="0"/>
          <w:numId w:val="6"/>
        </w:numPr>
        <w:bidi w:val="0"/>
        <w:spacing w:before="0" w:after="0"/>
        <w:ind w:right="0"/>
        <w:jc w:val="left"/>
        <w:outlineLvl w:val="9"/>
        <w:rPr>
          <w:b w:val="0"/>
          <w:bCs w:val="0"/>
          <w:i w:val="0"/>
          <w:iCs w:val="0"/>
          <w:kern w:val="0"/>
          <w:position w:val="0"/>
          <w:sz w:val="25"/>
          <w:szCs w:val="25"/>
          <w:rtl w:val="0"/>
          <w:lang w:val="en-US"/>
        </w:rPr>
      </w:pPr>
      <w:r>
        <w:rPr>
          <w:b w:val="0"/>
          <w:bCs w:val="0"/>
          <w:i w:val="0"/>
          <w:iCs w:val="0"/>
          <w:kern w:val="0"/>
          <w:sz w:val="25"/>
          <w:szCs w:val="25"/>
          <w:rtl w:val="0"/>
          <w:lang w:val="en-US"/>
        </w:rPr>
        <w:t xml:space="preserve">“ … </w:t>
      </w:r>
      <w:r>
        <w:rPr>
          <w:b w:val="0"/>
          <w:bCs w:val="0"/>
          <w:i w:val="0"/>
          <w:iCs w:val="0"/>
          <w:kern w:val="0"/>
          <w:sz w:val="25"/>
          <w:szCs w:val="25"/>
          <w:rtl w:val="0"/>
          <w:lang w:val="en-US"/>
        </w:rPr>
        <w:t>[B]etter forest management reduces the incidence of catastrophic wildfire, which reduces emissions of GHGs and also increases the carbon sequestration capacity of the forests. p.12.</w:t>
      </w:r>
    </w:p>
    <w:p>
      <w:pPr>
        <w:pStyle w:val="heading 5"/>
        <w:spacing w:before="0" w:after="0"/>
        <w:ind w:left="933" w:firstLine="0"/>
        <w:outlineLvl w:val="9"/>
        <w:rPr>
          <w:rFonts w:ascii="Arial" w:cs="Arial" w:hAnsi="Arial" w:eastAsia="Arial"/>
          <w:b w:val="0"/>
          <w:bCs w:val="0"/>
          <w:i w:val="0"/>
          <w:iCs w:val="0"/>
          <w:kern w:val="0"/>
          <w:sz w:val="25"/>
          <w:szCs w:val="25"/>
        </w:rPr>
      </w:pPr>
    </w:p>
    <w:p>
      <w:pPr>
        <w:pStyle w:val="heading 5"/>
        <w:numPr>
          <w:ilvl w:val="0"/>
          <w:numId w:val="7"/>
        </w:numPr>
        <w:bidi w:val="0"/>
        <w:spacing w:before="0" w:after="0"/>
        <w:ind w:right="0"/>
        <w:jc w:val="left"/>
        <w:outlineLvl w:val="9"/>
        <w:rPr>
          <w:b w:val="0"/>
          <w:bCs w:val="0"/>
          <w:i w:val="0"/>
          <w:iCs w:val="0"/>
          <w:kern w:val="0"/>
          <w:position w:val="0"/>
          <w:sz w:val="25"/>
          <w:szCs w:val="25"/>
          <w:rtl w:val="0"/>
          <w:lang w:val="en-US"/>
        </w:rPr>
      </w:pPr>
      <w:r>
        <w:rPr>
          <w:b w:val="0"/>
          <w:bCs w:val="0"/>
          <w:i w:val="0"/>
          <w:iCs w:val="0"/>
          <w:kern w:val="0"/>
          <w:sz w:val="25"/>
          <w:szCs w:val="25"/>
          <w:rtl w:val="0"/>
          <w:lang w:val="en-US"/>
        </w:rPr>
        <w:t>Wildfires are a highly intermittent but significant source</w:t>
      </w:r>
      <w:r>
        <w:rPr>
          <w:b w:val="0"/>
          <w:bCs w:val="0"/>
          <w:i w:val="0"/>
          <w:iCs w:val="0"/>
          <w:kern w:val="0"/>
          <w:sz w:val="25"/>
          <w:szCs w:val="25"/>
          <w:rtl w:val="0"/>
          <w:lang w:val="en-US"/>
        </w:rPr>
        <w:t>—</w:t>
      </w:r>
      <w:r>
        <w:rPr>
          <w:b w:val="0"/>
          <w:bCs w:val="0"/>
          <w:i w:val="0"/>
          <w:iCs w:val="0"/>
          <w:kern w:val="0"/>
          <w:sz w:val="25"/>
          <w:szCs w:val="25"/>
          <w:rtl w:val="0"/>
          <w:lang w:val="en-US"/>
        </w:rPr>
        <w:t xml:space="preserve">almost 50 percent of the total black carbon emissions. </w:t>
      </w:r>
      <w:r>
        <w:rPr>
          <w:b w:val="0"/>
          <w:bCs w:val="0"/>
          <w:i w:val="0"/>
          <w:iCs w:val="0"/>
          <w:kern w:val="0"/>
          <w:sz w:val="25"/>
          <w:szCs w:val="25"/>
          <w:rtl w:val="0"/>
          <w:lang w:val="en-US"/>
        </w:rPr>
        <w:t xml:space="preserve">– </w:t>
      </w:r>
      <w:r>
        <w:rPr>
          <w:b w:val="0"/>
          <w:bCs w:val="0"/>
          <w:i w:val="0"/>
          <w:iCs w:val="0"/>
          <w:kern w:val="0"/>
          <w:sz w:val="25"/>
          <w:szCs w:val="25"/>
          <w:rtl w:val="0"/>
          <w:lang w:val="en-US"/>
        </w:rPr>
        <w:t>p.18</w:t>
      </w:r>
    </w:p>
    <w:p>
      <w:pPr>
        <w:pStyle w:val="Body A A"/>
        <w:ind w:left="213" w:firstLine="0"/>
        <w:rPr>
          <w:rFonts w:ascii="Arial" w:cs="Arial" w:hAnsi="Arial" w:eastAsia="Arial"/>
          <w:sz w:val="25"/>
          <w:szCs w:val="25"/>
        </w:rPr>
      </w:pPr>
    </w:p>
    <w:p>
      <w:pPr>
        <w:pStyle w:val="heading 5"/>
        <w:numPr>
          <w:ilvl w:val="0"/>
          <w:numId w:val="9"/>
        </w:numPr>
        <w:bidi w:val="0"/>
        <w:spacing w:before="0" w:after="0"/>
        <w:ind w:right="0"/>
        <w:jc w:val="left"/>
        <w:outlineLvl w:val="9"/>
        <w:rPr>
          <w:b w:val="0"/>
          <w:bCs w:val="0"/>
          <w:i w:val="0"/>
          <w:iCs w:val="0"/>
          <w:kern w:val="0"/>
          <w:position w:val="0"/>
          <w:sz w:val="25"/>
          <w:szCs w:val="25"/>
          <w:rtl w:val="0"/>
          <w:lang w:val="en-US"/>
        </w:rPr>
      </w:pPr>
      <w:r>
        <w:rPr>
          <w:b w:val="0"/>
          <w:bCs w:val="0"/>
          <w:i w:val="0"/>
          <w:iCs w:val="0"/>
          <w:kern w:val="0"/>
          <w:sz w:val="25"/>
          <w:szCs w:val="25"/>
          <w:rtl w:val="0"/>
          <w:lang w:val="en-US"/>
        </w:rPr>
        <w:t>Healthy forests and lands returning to forest are an important source of carbon sequestration. The UC Berkeley research is showing, however, that loss of forests and other natural lands through fire, natural ecosystem succession and conversion of forests and woodlands to other uses represent significant CO2 release, potentially significantly greater than previously estimated and may outpace carbon sequestration, possibly by substantial amounts. p.71</w:t>
      </w:r>
    </w:p>
    <w:p>
      <w:pPr>
        <w:pStyle w:val="Body A A"/>
        <w:ind w:left="213" w:firstLine="0"/>
        <w:rPr>
          <w:rFonts w:ascii="Arial" w:cs="Arial" w:hAnsi="Arial" w:eastAsia="Arial"/>
          <w:sz w:val="25"/>
          <w:szCs w:val="25"/>
        </w:rPr>
      </w:pPr>
    </w:p>
    <w:p>
      <w:pPr>
        <w:pStyle w:val="heading 5"/>
        <w:numPr>
          <w:ilvl w:val="0"/>
          <w:numId w:val="11"/>
        </w:numPr>
        <w:bidi w:val="0"/>
        <w:spacing w:before="0" w:after="0"/>
        <w:ind w:right="0"/>
        <w:jc w:val="left"/>
        <w:outlineLvl w:val="9"/>
        <w:rPr>
          <w:b w:val="0"/>
          <w:bCs w:val="0"/>
          <w:i w:val="0"/>
          <w:iCs w:val="0"/>
          <w:kern w:val="0"/>
          <w:position w:val="0"/>
          <w:sz w:val="25"/>
          <w:szCs w:val="25"/>
          <w:rtl w:val="0"/>
          <w:lang w:val="en-US"/>
        </w:rPr>
      </w:pPr>
      <w:r>
        <w:rPr>
          <w:b w:val="0"/>
          <w:bCs w:val="0"/>
          <w:i w:val="0"/>
          <w:iCs w:val="0"/>
          <w:kern w:val="0"/>
          <w:sz w:val="25"/>
          <w:szCs w:val="25"/>
          <w:rtl w:val="0"/>
          <w:lang w:val="en-US"/>
        </w:rPr>
        <w:t>Timing is critical for actions in this sector. Activities to enhance carbon storage on natural and working lands, such as reforestation or restoration, will require time to fully realize carbon benefits. For example, planting trees today will maximize their sequestration capacity in 20 to 50 years. p.71</w:t>
      </w:r>
    </w:p>
    <w:p>
      <w:pPr>
        <w:pStyle w:val="Body A A"/>
        <w:ind w:left="213" w:firstLine="0"/>
        <w:rPr>
          <w:rFonts w:ascii="Arial" w:cs="Arial" w:hAnsi="Arial" w:eastAsia="Arial"/>
          <w:sz w:val="25"/>
          <w:szCs w:val="25"/>
        </w:rPr>
      </w:pPr>
    </w:p>
    <w:p>
      <w:pPr>
        <w:pStyle w:val="heading 5"/>
        <w:numPr>
          <w:ilvl w:val="0"/>
          <w:numId w:val="13"/>
        </w:numPr>
        <w:bidi w:val="0"/>
        <w:spacing w:before="0" w:after="135"/>
        <w:ind w:right="0"/>
        <w:jc w:val="left"/>
        <w:outlineLvl w:val="9"/>
        <w:rPr>
          <w:b w:val="0"/>
          <w:bCs w:val="0"/>
          <w:i w:val="0"/>
          <w:iCs w:val="0"/>
          <w:kern w:val="0"/>
          <w:position w:val="0"/>
          <w:sz w:val="25"/>
          <w:szCs w:val="25"/>
          <w:rtl w:val="0"/>
          <w:lang w:val="en-US"/>
        </w:rPr>
      </w:pPr>
      <w:r>
        <w:rPr>
          <w:b w:val="0"/>
          <w:bCs w:val="0"/>
          <w:i w:val="0"/>
          <w:iCs w:val="0"/>
          <w:kern w:val="0"/>
          <w:sz w:val="25"/>
          <w:szCs w:val="25"/>
          <w:rtl w:val="0"/>
          <w:lang w:val="en-US"/>
        </w:rPr>
        <w:t xml:space="preserve">Some actions to reduce emissions and enhance carbon storage in the long-term may result in temporary, short-term reductions in carbon sequestration. For instance, </w:t>
      </w:r>
      <w:r>
        <w:rPr>
          <w:b w:val="0"/>
          <w:bCs w:val="0"/>
          <w:i w:val="0"/>
          <w:iCs w:val="0"/>
          <w:kern w:val="0"/>
          <w:sz w:val="25"/>
          <w:szCs w:val="25"/>
          <w:u w:val="single"/>
          <w:rtl w:val="0"/>
          <w:lang w:val="en-US"/>
        </w:rPr>
        <w:t>actions taken to address forest health concerns or to reduce wildfire risks may result in temporary reductions in carbon stock, but they are necessary to maintain healthy forests that are more efficient at GHG sequestration and more resilient to future climate conditions</w:t>
      </w:r>
      <w:r>
        <w:rPr>
          <w:b w:val="0"/>
          <w:bCs w:val="0"/>
          <w:i w:val="0"/>
          <w:iCs w:val="0"/>
          <w:kern w:val="0"/>
          <w:sz w:val="25"/>
          <w:szCs w:val="25"/>
          <w:rtl w:val="0"/>
          <w:lang w:val="en-US"/>
        </w:rPr>
        <w:t>. It</w:t>
      </w:r>
      <w:r>
        <w:rPr>
          <w:b w:val="0"/>
          <w:bCs w:val="0"/>
          <w:i w:val="0"/>
          <w:iCs w:val="0"/>
          <w:kern w:val="0"/>
          <w:sz w:val="25"/>
          <w:szCs w:val="25"/>
          <w:rtl w:val="0"/>
          <w:lang w:val="en-US"/>
        </w:rPr>
        <w:t>’</w:t>
      </w:r>
      <w:r>
        <w:rPr>
          <w:b w:val="0"/>
          <w:bCs w:val="0"/>
          <w:i w:val="0"/>
          <w:iCs w:val="0"/>
          <w:kern w:val="0"/>
          <w:sz w:val="25"/>
          <w:szCs w:val="25"/>
          <w:rtl w:val="0"/>
          <w:lang w:val="en-US"/>
        </w:rPr>
        <w:t>s important to manage our forests to maximize net climate benefits, increasing sequestration while reducing losses due to fire or other processes, while also considering the broader range of environmental services that forests and other natural lands provide.</w:t>
      </w:r>
      <w:r>
        <w:rPr>
          <w:b w:val="0"/>
          <w:bCs w:val="0"/>
          <w:i w:val="0"/>
          <w:iCs w:val="0"/>
          <w:kern w:val="0"/>
          <w:sz w:val="25"/>
          <w:szCs w:val="25"/>
          <w:rtl w:val="0"/>
          <w:lang w:val="en-US"/>
        </w:rPr>
        <w:t xml:space="preserve">  </w:t>
      </w:r>
      <w:r>
        <w:rPr>
          <w:b w:val="0"/>
          <w:bCs w:val="0"/>
          <w:i w:val="0"/>
          <w:iCs w:val="0"/>
          <w:kern w:val="0"/>
          <w:sz w:val="25"/>
          <w:szCs w:val="25"/>
          <w:rtl w:val="0"/>
          <w:lang w:val="en-US"/>
        </w:rPr>
        <w:t>p. 72 (emphasis added).</w:t>
      </w:r>
    </w:p>
    <w:p>
      <w:pPr>
        <w:pStyle w:val="heading 5"/>
        <w:spacing w:before="0" w:after="135"/>
        <w:ind w:left="933" w:firstLine="0"/>
        <w:outlineLvl w:val="9"/>
        <w:rPr>
          <w:rFonts w:ascii="Arial" w:cs="Arial" w:hAnsi="Arial" w:eastAsia="Arial"/>
          <w:b w:val="0"/>
          <w:bCs w:val="0"/>
          <w:i w:val="0"/>
          <w:iCs w:val="0"/>
          <w:kern w:val="0"/>
          <w:sz w:val="25"/>
          <w:szCs w:val="25"/>
        </w:rPr>
      </w:pPr>
    </w:p>
    <w:p>
      <w:pPr>
        <w:pStyle w:val="heading 5"/>
        <w:numPr>
          <w:ilvl w:val="0"/>
          <w:numId w:val="15"/>
        </w:numPr>
        <w:bidi w:val="0"/>
        <w:spacing w:before="0" w:after="0"/>
        <w:ind w:right="0"/>
        <w:jc w:val="left"/>
        <w:outlineLvl w:val="9"/>
        <w:rPr>
          <w:b w:val="0"/>
          <w:bCs w:val="0"/>
          <w:i w:val="0"/>
          <w:iCs w:val="0"/>
          <w:kern w:val="0"/>
          <w:position w:val="0"/>
          <w:sz w:val="25"/>
          <w:szCs w:val="25"/>
          <w:rtl w:val="0"/>
          <w:lang w:val="en-US"/>
        </w:rPr>
      </w:pPr>
      <w:r>
        <w:rPr>
          <w:b w:val="0"/>
          <w:bCs w:val="0"/>
          <w:i w:val="0"/>
          <w:iCs w:val="0"/>
          <w:kern w:val="0"/>
          <w:sz w:val="25"/>
          <w:szCs w:val="25"/>
          <w:rtl w:val="0"/>
          <w:lang w:val="en-US"/>
        </w:rPr>
        <w:t>Funding is critical to address the needs in this sector, yet it is far below historic levels and in some cases does not exist. Outcomes of actions on natural and working lands often occur on a decadal scale. Action within the next ten years is critical so long-term benefits can be fully realized in the 2050 time frame. Funding sources must be identified, particularly where funds from existing sources can be leveraged effectively. p.74</w:t>
      </w:r>
    </w:p>
    <w:p>
      <w:pPr>
        <w:pStyle w:val="Body A A"/>
        <w:ind w:left="213" w:firstLine="0"/>
        <w:rPr>
          <w:rFonts w:ascii="Arial" w:cs="Arial" w:hAnsi="Arial" w:eastAsia="Arial"/>
          <w:sz w:val="25"/>
          <w:szCs w:val="25"/>
        </w:rPr>
      </w:pPr>
    </w:p>
    <w:p>
      <w:pPr>
        <w:pStyle w:val="Body A A"/>
        <w:rPr>
          <w:sz w:val="25"/>
          <w:szCs w:val="25"/>
        </w:rPr>
      </w:pPr>
      <w:r>
        <w:rPr>
          <w:sz w:val="25"/>
          <w:szCs w:val="25"/>
          <w:rtl w:val="0"/>
          <w:lang w:val="en-US"/>
        </w:rPr>
        <w:t>Achieving AB 32 reduction goals without addressing forest health can ultimately impose more onerous burdens on other sectors.</w:t>
      </w:r>
      <w:r>
        <w:rPr>
          <w:sz w:val="25"/>
          <w:szCs w:val="25"/>
          <w:rtl w:val="0"/>
          <w:lang w:val="en-US"/>
        </w:rPr>
        <w:t xml:space="preserve">  </w:t>
      </w:r>
      <w:r>
        <w:rPr>
          <w:sz w:val="25"/>
          <w:szCs w:val="25"/>
          <w:rtl w:val="0"/>
          <w:lang w:val="en-US"/>
        </w:rPr>
        <w:t>As noted by Secretary Laird at the Governor</w:t>
      </w:r>
      <w:r>
        <w:rPr>
          <w:sz w:val="25"/>
          <w:szCs w:val="25"/>
          <w:rtl w:val="0"/>
          <w:lang w:val="en-US"/>
        </w:rPr>
        <w:t>’</w:t>
      </w:r>
      <w:r>
        <w:rPr>
          <w:sz w:val="25"/>
          <w:szCs w:val="25"/>
          <w:rtl w:val="0"/>
          <w:lang w:val="en-US"/>
        </w:rPr>
        <w:t xml:space="preserve">s Symposium on Natural and Working Lands on August 5, 2015, </w:t>
      </w:r>
      <w:r>
        <w:rPr>
          <w:b w:val="1"/>
          <w:bCs w:val="1"/>
          <w:sz w:val="25"/>
          <w:szCs w:val="25"/>
          <w:u w:val="single"/>
          <w:rtl w:val="0"/>
          <w:lang w:val="en-US"/>
        </w:rPr>
        <w:t>the Rim Fire emitted 11.7 million metric tons of GHGs</w:t>
      </w:r>
      <w:r>
        <w:rPr>
          <w:b w:val="1"/>
          <w:bCs w:val="1"/>
          <w:sz w:val="25"/>
          <w:szCs w:val="25"/>
          <w:rtl w:val="0"/>
          <w:lang w:val="en-US"/>
        </w:rPr>
        <w:t xml:space="preserve">, the equivalent of the annual emission of 2.3 million cars, while </w:t>
      </w:r>
      <w:r>
        <w:rPr>
          <w:b w:val="1"/>
          <w:bCs w:val="1"/>
          <w:sz w:val="25"/>
          <w:szCs w:val="25"/>
          <w:u w:val="single"/>
          <w:rtl w:val="0"/>
          <w:lang w:val="en-US"/>
        </w:rPr>
        <w:t>the King Fire emitted another estimated 4 million metric tons of GHG</w:t>
      </w:r>
      <w:r>
        <w:rPr>
          <w:sz w:val="25"/>
          <w:szCs w:val="25"/>
          <w:rtl w:val="0"/>
          <w:lang w:val="en-US"/>
        </w:rPr>
        <w:t>.</w:t>
      </w:r>
      <w:r>
        <w:rPr>
          <w:sz w:val="25"/>
          <w:szCs w:val="25"/>
          <w:rtl w:val="0"/>
          <w:lang w:val="en-US"/>
        </w:rPr>
        <w:t xml:space="preserve">  </w:t>
      </w:r>
      <w:r>
        <w:rPr>
          <w:sz w:val="25"/>
          <w:szCs w:val="25"/>
          <w:rtl w:val="0"/>
          <w:lang w:val="en-US"/>
        </w:rPr>
        <w:t>These emissions significantly impact the effectiveness of other programs under AB 32 to reach California</w:t>
      </w:r>
      <w:r>
        <w:rPr>
          <w:sz w:val="25"/>
          <w:szCs w:val="25"/>
          <w:rtl w:val="0"/>
          <w:lang w:val="en-US"/>
        </w:rPr>
        <w:t>’</w:t>
      </w:r>
      <w:r>
        <w:rPr>
          <w:sz w:val="25"/>
          <w:szCs w:val="25"/>
          <w:rtl w:val="0"/>
          <w:lang w:val="en-US"/>
        </w:rPr>
        <w:t xml:space="preserve">s GHG reduction goals. </w:t>
      </w:r>
      <w:r>
        <w:rPr>
          <w:sz w:val="25"/>
          <w:szCs w:val="25"/>
          <w:rtl w:val="0"/>
          <w:lang w:val="en-US"/>
        </w:rPr>
        <w:t> </w:t>
      </w:r>
    </w:p>
    <w:p>
      <w:pPr>
        <w:pStyle w:val="Body A A"/>
        <w:rPr>
          <w:rFonts w:ascii="Arial" w:cs="Arial" w:hAnsi="Arial" w:eastAsia="Arial"/>
          <w:sz w:val="25"/>
          <w:szCs w:val="25"/>
        </w:rPr>
      </w:pPr>
    </w:p>
    <w:p>
      <w:pPr>
        <w:pStyle w:val="Body A A"/>
      </w:pPr>
      <w:r>
        <w:rPr>
          <w:sz w:val="25"/>
          <w:szCs w:val="25"/>
          <w:rtl w:val="0"/>
          <w:lang w:val="en-US"/>
        </w:rPr>
        <w:t xml:space="preserve">We are concerned that the Draft Funding Guidelines could unintentionally raise unnecessary obstacles for needed fuel reduction and forest restoration projects. </w:t>
      </w:r>
      <w:r>
        <w:rPr>
          <w:sz w:val="25"/>
          <w:szCs w:val="25"/>
          <w:rtl w:val="0"/>
          <w:lang w:val="en-US"/>
        </w:rPr>
        <w:t>   </w:t>
      </w:r>
    </w:p>
    <w:p>
      <w:pPr>
        <w:pStyle w:val="Body A A"/>
        <w:rPr>
          <w:sz w:val="25"/>
          <w:szCs w:val="25"/>
        </w:rPr>
      </w:pPr>
      <w:r>
        <w:rPr>
          <w:sz w:val="25"/>
          <w:szCs w:val="25"/>
          <w:rtl w:val="0"/>
          <w:lang w:val="en-US"/>
        </w:rPr>
        <w:t>In particular we ask that the following concerns be addressed.</w:t>
      </w:r>
    </w:p>
    <w:p>
      <w:pPr>
        <w:pStyle w:val="Body A A"/>
        <w:rPr>
          <w:rFonts w:ascii="Arial" w:cs="Arial" w:hAnsi="Arial" w:eastAsia="Arial"/>
          <w:sz w:val="25"/>
          <w:szCs w:val="25"/>
        </w:rPr>
      </w:pPr>
    </w:p>
    <w:p>
      <w:pPr>
        <w:pStyle w:val="Body A A"/>
        <w:rPr>
          <w:sz w:val="25"/>
          <w:szCs w:val="25"/>
        </w:rPr>
      </w:pPr>
      <w:r>
        <w:rPr>
          <w:b w:val="1"/>
          <w:bCs w:val="1"/>
          <w:sz w:val="25"/>
          <w:szCs w:val="25"/>
          <w:rtl w:val="0"/>
          <w:lang w:val="en-US"/>
        </w:rPr>
        <w:t>1.</w:t>
        <w:tab/>
        <w:t xml:space="preserve">Give equal attention to the need for action as well as to the details of quantification of GHG reductions. </w:t>
      </w:r>
      <w:r>
        <w:rPr>
          <w:b w:val="1"/>
          <w:bCs w:val="1"/>
          <w:sz w:val="25"/>
          <w:szCs w:val="25"/>
          <w:rtl w:val="0"/>
          <w:lang w:val="en-US"/>
        </w:rPr>
        <w:t> </w:t>
      </w:r>
    </w:p>
    <w:p>
      <w:pPr>
        <w:pStyle w:val="Body A A"/>
        <w:rPr>
          <w:rFonts w:ascii="Arial" w:cs="Arial" w:hAnsi="Arial" w:eastAsia="Arial"/>
          <w:sz w:val="25"/>
          <w:szCs w:val="25"/>
        </w:rPr>
      </w:pPr>
    </w:p>
    <w:p>
      <w:pPr>
        <w:pStyle w:val="Body A A"/>
        <w:rPr>
          <w:sz w:val="25"/>
          <w:szCs w:val="25"/>
        </w:rPr>
      </w:pPr>
      <w:r>
        <w:rPr>
          <w:sz w:val="25"/>
          <w:szCs w:val="25"/>
          <w:rtl w:val="0"/>
          <w:lang w:val="en-US"/>
        </w:rPr>
        <w:t xml:space="preserve">YSS recognizes that there are multiple laws that ARB and funding agencies must follow. </w:t>
      </w:r>
      <w:r>
        <w:rPr>
          <w:sz w:val="25"/>
          <w:szCs w:val="25"/>
          <w:rtl w:val="0"/>
          <w:lang w:val="en-US"/>
        </w:rPr>
        <w:t xml:space="preserve">  </w:t>
      </w:r>
      <w:r>
        <w:rPr>
          <w:sz w:val="25"/>
          <w:szCs w:val="25"/>
          <w:rtl w:val="0"/>
          <w:lang w:val="en-US"/>
        </w:rPr>
        <w:t>However, we are concerned that the Funding Guidelines may add so many layers of requirements in an effort to document that the process is well vetted that we may inadvertently delay action in order to over-prepare for audits.</w:t>
      </w:r>
      <w:r>
        <w:rPr>
          <w:sz w:val="25"/>
          <w:szCs w:val="25"/>
          <w:rtl w:val="0"/>
          <w:lang w:val="en-US"/>
        </w:rPr>
        <w:t xml:space="preserve">  </w:t>
      </w:r>
      <w:r>
        <w:rPr>
          <w:sz w:val="25"/>
          <w:szCs w:val="25"/>
          <w:rtl w:val="0"/>
          <w:lang w:val="en-US"/>
        </w:rPr>
        <w:t xml:space="preserve">The fundamental purpose of the GGRF program may be diluted or lost in a miasma of application, outreach and reporting requirements. </w:t>
      </w:r>
      <w:r>
        <w:rPr>
          <w:sz w:val="25"/>
          <w:szCs w:val="25"/>
          <w:rtl w:val="0"/>
          <w:lang w:val="en-US"/>
        </w:rPr>
        <w:t> </w:t>
      </w:r>
    </w:p>
    <w:p>
      <w:pPr>
        <w:pStyle w:val="Body A A"/>
        <w:rPr>
          <w:rFonts w:ascii="Arial" w:cs="Arial" w:hAnsi="Arial" w:eastAsia="Arial"/>
          <w:sz w:val="25"/>
          <w:szCs w:val="25"/>
        </w:rPr>
      </w:pPr>
    </w:p>
    <w:p>
      <w:pPr>
        <w:pStyle w:val="Body A A"/>
        <w:rPr>
          <w:sz w:val="25"/>
          <w:szCs w:val="25"/>
        </w:rPr>
      </w:pPr>
      <w:r>
        <w:rPr>
          <w:sz w:val="25"/>
          <w:szCs w:val="25"/>
          <w:rtl w:val="0"/>
          <w:lang w:val="en-US"/>
        </w:rPr>
        <w:t>As Secretary Laird stated at the Governor</w:t>
      </w:r>
      <w:r>
        <w:rPr>
          <w:sz w:val="25"/>
          <w:szCs w:val="25"/>
          <w:rtl w:val="0"/>
          <w:lang w:val="en-US"/>
        </w:rPr>
        <w:t>’</w:t>
      </w:r>
      <w:r>
        <w:rPr>
          <w:sz w:val="25"/>
          <w:szCs w:val="25"/>
          <w:rtl w:val="0"/>
          <w:lang w:val="en-US"/>
        </w:rPr>
        <w:t>s Symposium on Natural and Working Lands, we know that fuel reductions reduce wildfires.</w:t>
      </w:r>
      <w:r>
        <w:rPr>
          <w:sz w:val="25"/>
          <w:szCs w:val="25"/>
          <w:rtl w:val="0"/>
          <w:lang w:val="en-US"/>
        </w:rPr>
        <w:t xml:space="preserve">  </w:t>
      </w:r>
      <w:r>
        <w:rPr>
          <w:sz w:val="25"/>
          <w:szCs w:val="25"/>
          <w:rtl w:val="0"/>
          <w:lang w:val="en-US"/>
        </w:rPr>
        <w:t>We may not be able to quantify the exact GHG reduction associated with reduced wildfire air emissions and increased sequestration.</w:t>
      </w:r>
      <w:r>
        <w:rPr>
          <w:sz w:val="25"/>
          <w:szCs w:val="25"/>
          <w:rtl w:val="0"/>
          <w:lang w:val="en-US"/>
        </w:rPr>
        <w:t xml:space="preserve">  </w:t>
      </w:r>
      <w:r>
        <w:rPr>
          <w:sz w:val="25"/>
          <w:szCs w:val="25"/>
          <w:rtl w:val="0"/>
          <w:lang w:val="en-US"/>
        </w:rPr>
        <w:t xml:space="preserve">Yet we know that reduction is real. </w:t>
      </w:r>
      <w:r>
        <w:rPr>
          <w:sz w:val="25"/>
          <w:szCs w:val="25"/>
          <w:rtl w:val="0"/>
          <w:lang w:val="en-US"/>
        </w:rPr>
        <w:t xml:space="preserve">  </w:t>
      </w:r>
      <w:r>
        <w:rPr>
          <w:sz w:val="25"/>
          <w:szCs w:val="25"/>
          <w:rtl w:val="0"/>
          <w:lang w:val="en-US"/>
        </w:rPr>
        <w:t>Less fuel means fewer and less intense fires.</w:t>
      </w:r>
      <w:r>
        <w:rPr>
          <w:sz w:val="25"/>
          <w:szCs w:val="25"/>
          <w:rtl w:val="0"/>
          <w:lang w:val="en-US"/>
        </w:rPr>
        <w:t xml:space="preserve">  </w:t>
      </w:r>
      <w:r>
        <w:rPr>
          <w:sz w:val="25"/>
          <w:szCs w:val="25"/>
          <w:rtl w:val="0"/>
          <w:lang w:val="en-US"/>
        </w:rPr>
        <w:t>The ARB</w:t>
      </w:r>
      <w:r>
        <w:rPr>
          <w:sz w:val="25"/>
          <w:szCs w:val="25"/>
          <w:rtl w:val="0"/>
          <w:lang w:val="en-US"/>
        </w:rPr>
        <w:t>’</w:t>
      </w:r>
      <w:r>
        <w:rPr>
          <w:sz w:val="25"/>
          <w:szCs w:val="25"/>
          <w:rtl w:val="0"/>
          <w:lang w:val="en-US"/>
        </w:rPr>
        <w:t xml:space="preserve">s Scoping Plan Update already makes this fundamental point. </w:t>
      </w:r>
      <w:r>
        <w:rPr>
          <w:sz w:val="25"/>
          <w:szCs w:val="25"/>
          <w:rtl w:val="0"/>
          <w:lang w:val="en-US"/>
        </w:rPr>
        <w:t> </w:t>
      </w:r>
    </w:p>
    <w:p>
      <w:pPr>
        <w:pStyle w:val="Body A A"/>
        <w:rPr>
          <w:rFonts w:ascii="Arial" w:cs="Arial" w:hAnsi="Arial" w:eastAsia="Arial"/>
          <w:sz w:val="25"/>
          <w:szCs w:val="25"/>
        </w:rPr>
      </w:pPr>
    </w:p>
    <w:p>
      <w:pPr>
        <w:pStyle w:val="Body A A"/>
        <w:rPr>
          <w:sz w:val="25"/>
          <w:szCs w:val="25"/>
        </w:rPr>
      </w:pPr>
      <w:r>
        <w:rPr>
          <w:sz w:val="25"/>
          <w:szCs w:val="25"/>
          <w:rtl w:val="0"/>
          <w:lang w:val="en-US"/>
        </w:rPr>
        <w:t>Researchers are hard at work to better quantify the linkage.</w:t>
      </w:r>
      <w:r>
        <w:rPr>
          <w:sz w:val="25"/>
          <w:szCs w:val="25"/>
          <w:rtl w:val="0"/>
          <w:lang w:val="en-US"/>
        </w:rPr>
        <w:t xml:space="preserve">  </w:t>
      </w:r>
      <w:r>
        <w:rPr>
          <w:sz w:val="25"/>
          <w:szCs w:val="25"/>
          <w:rtl w:val="0"/>
          <w:lang w:val="en-US"/>
        </w:rPr>
        <w:t>And the Forest Carbon Action Plan will provide additional information in late 2016 or 2017.</w:t>
      </w:r>
      <w:r>
        <w:rPr>
          <w:sz w:val="25"/>
          <w:szCs w:val="25"/>
          <w:rtl w:val="0"/>
          <w:lang w:val="en-US"/>
        </w:rPr>
        <w:t xml:space="preserve">  </w:t>
      </w:r>
      <w:r>
        <w:rPr>
          <w:sz w:val="25"/>
          <w:szCs w:val="25"/>
          <w:rtl w:val="0"/>
          <w:lang w:val="en-US"/>
        </w:rPr>
        <w:t xml:space="preserve">Yet what will always remain is an assessment of probability. </w:t>
      </w:r>
      <w:r>
        <w:rPr>
          <w:sz w:val="25"/>
          <w:szCs w:val="25"/>
          <w:rtl w:val="0"/>
          <w:lang w:val="en-US"/>
        </w:rPr>
        <w:t xml:space="preserve">  </w:t>
      </w:r>
      <w:r>
        <w:rPr>
          <w:sz w:val="25"/>
          <w:szCs w:val="25"/>
          <w:rtl w:val="0"/>
          <w:lang w:val="en-US"/>
        </w:rPr>
        <w:t xml:space="preserve">We are all dealing with an overwhelming diverse and complex natural system. </w:t>
      </w:r>
      <w:r>
        <w:rPr>
          <w:sz w:val="25"/>
          <w:szCs w:val="25"/>
          <w:rtl w:val="0"/>
          <w:lang w:val="en-US"/>
        </w:rPr>
        <w:t xml:space="preserve">  </w:t>
      </w:r>
      <w:r>
        <w:rPr>
          <w:sz w:val="25"/>
          <w:szCs w:val="25"/>
          <w:rtl w:val="0"/>
          <w:lang w:val="en-US"/>
        </w:rPr>
        <w:t xml:space="preserve">It is not subject to a more traditional engineering analysis typically applied to stationary source regulation. </w:t>
      </w:r>
      <w:r>
        <w:rPr>
          <w:sz w:val="25"/>
          <w:szCs w:val="25"/>
          <w:rtl w:val="0"/>
          <w:lang w:val="en-US"/>
        </w:rPr>
        <w:t xml:space="preserve">  </w:t>
      </w:r>
      <w:r>
        <w:rPr>
          <w:sz w:val="25"/>
          <w:szCs w:val="25"/>
          <w:rtl w:val="0"/>
          <w:lang w:val="en-US"/>
        </w:rPr>
        <w:t>For this reason, we urge the ARB</w:t>
      </w:r>
      <w:r>
        <w:rPr>
          <w:sz w:val="25"/>
          <w:szCs w:val="25"/>
          <w:rtl w:val="0"/>
          <w:lang w:val="en-US"/>
        </w:rPr>
        <w:t xml:space="preserve">  </w:t>
      </w:r>
      <w:r>
        <w:rPr>
          <w:sz w:val="25"/>
          <w:szCs w:val="25"/>
          <w:rtl w:val="0"/>
          <w:lang w:val="en-US"/>
        </w:rPr>
        <w:t>not to</w:t>
      </w:r>
      <w:r>
        <w:rPr>
          <w:sz w:val="25"/>
          <w:szCs w:val="25"/>
          <w:rtl w:val="0"/>
          <w:lang w:val="en-US"/>
        </w:rPr>
        <w:t xml:space="preserve">  </w:t>
      </w:r>
      <w:r>
        <w:rPr>
          <w:sz w:val="25"/>
          <w:szCs w:val="25"/>
          <w:rtl w:val="0"/>
          <w:lang w:val="en-US"/>
        </w:rPr>
        <w:t>insist on mathematical precision at the expense of getting long overdue fuel reduction projects underway.</w:t>
      </w:r>
      <w:r>
        <w:rPr>
          <w:sz w:val="25"/>
          <w:szCs w:val="25"/>
          <w:rtl w:val="0"/>
          <w:lang w:val="en-US"/>
        </w:rPr>
        <w:t xml:space="preserve">  </w:t>
      </w:r>
      <w:r>
        <w:rPr>
          <w:sz w:val="25"/>
          <w:szCs w:val="25"/>
          <w:rtl w:val="0"/>
          <w:lang w:val="en-US"/>
        </w:rPr>
        <w:t>The statutory requirement is that expenditures further the purposes of AB32 and reduce GHG emissions.</w:t>
      </w:r>
      <w:r>
        <w:rPr>
          <w:sz w:val="25"/>
          <w:szCs w:val="25"/>
          <w:rtl w:val="0"/>
          <w:lang w:val="en-US"/>
        </w:rPr>
        <w:t xml:space="preserve">  </w:t>
      </w:r>
      <w:r>
        <w:rPr>
          <w:sz w:val="25"/>
          <w:szCs w:val="25"/>
          <w:rtl w:val="0"/>
          <w:lang w:val="en-US"/>
        </w:rPr>
        <w:t>Reduction of fuel loading and reasonably assured increases in future sequestration meet these requirements.</w:t>
      </w:r>
      <w:r>
        <w:rPr>
          <w:sz w:val="25"/>
          <w:szCs w:val="25"/>
          <w:rtl w:val="0"/>
          <w:lang w:val="en-US"/>
        </w:rPr>
        <w:t xml:space="preserve">  </w:t>
      </w:r>
      <w:r>
        <w:rPr>
          <w:sz w:val="25"/>
          <w:szCs w:val="25"/>
          <w:rtl w:val="0"/>
          <w:lang w:val="en-US"/>
        </w:rPr>
        <w:t xml:space="preserve">The statutes do not require an impossible calculation of precisely how much. </w:t>
      </w:r>
      <w:r>
        <w:rPr>
          <w:sz w:val="25"/>
          <w:szCs w:val="25"/>
          <w:rtl w:val="0"/>
          <w:lang w:val="en-US"/>
        </w:rPr>
        <w:t> </w:t>
      </w:r>
    </w:p>
    <w:p>
      <w:pPr>
        <w:pStyle w:val="Body A A"/>
        <w:rPr>
          <w:rFonts w:ascii="Arial" w:cs="Arial" w:hAnsi="Arial" w:eastAsia="Arial"/>
          <w:sz w:val="25"/>
          <w:szCs w:val="25"/>
        </w:rPr>
      </w:pPr>
    </w:p>
    <w:p>
      <w:pPr>
        <w:pStyle w:val="Body A A"/>
        <w:rPr>
          <w:sz w:val="25"/>
          <w:szCs w:val="25"/>
        </w:rPr>
      </w:pPr>
      <w:r>
        <w:rPr>
          <w:b w:val="1"/>
          <w:bCs w:val="1"/>
          <w:sz w:val="25"/>
          <w:szCs w:val="25"/>
          <w:rtl w:val="0"/>
          <w:lang w:val="en-US"/>
        </w:rPr>
        <w:t>2.</w:t>
        <w:tab/>
        <w:t>Do not confuse review of Greenhouse Gas Reduction Fund (</w:t>
      </w:r>
      <w:r>
        <w:rPr>
          <w:b w:val="1"/>
          <w:bCs w:val="1"/>
          <w:sz w:val="25"/>
          <w:szCs w:val="25"/>
          <w:rtl w:val="0"/>
          <w:lang w:val="en-US"/>
        </w:rPr>
        <w:t>“</w:t>
      </w:r>
      <w:r>
        <w:rPr>
          <w:b w:val="1"/>
          <w:bCs w:val="1"/>
          <w:sz w:val="25"/>
          <w:szCs w:val="25"/>
          <w:rtl w:val="0"/>
          <w:lang w:val="en-US"/>
        </w:rPr>
        <w:t>GGRF</w:t>
      </w:r>
      <w:r>
        <w:rPr>
          <w:b w:val="1"/>
          <w:bCs w:val="1"/>
          <w:sz w:val="25"/>
          <w:szCs w:val="25"/>
          <w:rtl w:val="0"/>
          <w:lang w:val="en-US"/>
        </w:rPr>
        <w:t>”</w:t>
      </w:r>
      <w:r>
        <w:rPr>
          <w:b w:val="1"/>
          <w:bCs w:val="1"/>
          <w:sz w:val="25"/>
          <w:szCs w:val="25"/>
          <w:rtl w:val="0"/>
          <w:lang w:val="en-US"/>
        </w:rPr>
        <w:t xml:space="preserve">) projects with the granting of offsets. </w:t>
      </w:r>
      <w:r>
        <w:rPr>
          <w:b w:val="1"/>
          <w:bCs w:val="1"/>
          <w:sz w:val="25"/>
          <w:szCs w:val="25"/>
          <w:rtl w:val="0"/>
          <w:lang w:val="en-US"/>
        </w:rPr>
        <w:t> </w:t>
      </w:r>
    </w:p>
    <w:p>
      <w:pPr>
        <w:pStyle w:val="Body A A"/>
        <w:rPr>
          <w:rFonts w:ascii="Arial" w:cs="Arial" w:hAnsi="Arial" w:eastAsia="Arial"/>
          <w:sz w:val="25"/>
          <w:szCs w:val="25"/>
        </w:rPr>
      </w:pPr>
    </w:p>
    <w:p>
      <w:pPr>
        <w:pStyle w:val="Body A A"/>
        <w:rPr>
          <w:sz w:val="25"/>
          <w:szCs w:val="25"/>
        </w:rPr>
      </w:pPr>
      <w:r>
        <w:rPr>
          <w:sz w:val="25"/>
          <w:szCs w:val="25"/>
          <w:rtl w:val="0"/>
          <w:lang w:val="en-US"/>
        </w:rPr>
        <w:t xml:space="preserve">Fuel reduction and forest restoration projects appear to be one of the only, if not the only, category of GGRF funded projects that could possibly also qualify for offsets if carried out on private lands. </w:t>
      </w:r>
      <w:r>
        <w:rPr>
          <w:sz w:val="25"/>
          <w:szCs w:val="25"/>
          <w:rtl w:val="0"/>
          <w:lang w:val="en-US"/>
        </w:rPr>
        <w:t xml:space="preserve">  </w:t>
      </w:r>
      <w:r>
        <w:rPr>
          <w:sz w:val="25"/>
          <w:szCs w:val="25"/>
          <w:rtl w:val="0"/>
          <w:lang w:val="en-US"/>
        </w:rPr>
        <w:t>There may be a temptation to apply the full suite of requirements from the ARB</w:t>
      </w:r>
      <w:r>
        <w:rPr>
          <w:sz w:val="25"/>
          <w:szCs w:val="25"/>
          <w:rtl w:val="0"/>
          <w:lang w:val="en-US"/>
        </w:rPr>
        <w:t>’</w:t>
      </w:r>
      <w:r>
        <w:rPr>
          <w:sz w:val="25"/>
          <w:szCs w:val="25"/>
          <w:rtl w:val="0"/>
          <w:lang w:val="en-US"/>
        </w:rPr>
        <w:t>s Compliance Forest Offset Protocol (perhaps under an Expenditure Record approved by the ARB)</w:t>
      </w:r>
      <w:r>
        <w:rPr>
          <w:sz w:val="25"/>
          <w:szCs w:val="25"/>
          <w:rtl w:val="0"/>
          <w:lang w:val="en-US"/>
        </w:rPr>
        <w:t> </w:t>
      </w:r>
      <w:r>
        <w:rPr>
          <w:sz w:val="25"/>
          <w:szCs w:val="25"/>
          <w:rtl w:val="0"/>
          <w:lang w:val="en-US"/>
        </w:rPr>
        <w:t xml:space="preserve">to an assessment of GHG reductions from fuel reduction projects. </w:t>
      </w:r>
      <w:r>
        <w:rPr>
          <w:sz w:val="25"/>
          <w:szCs w:val="25"/>
          <w:rtl w:val="0"/>
          <w:lang w:val="en-US"/>
        </w:rPr>
        <w:t xml:space="preserve">  </w:t>
      </w:r>
      <w:r>
        <w:rPr>
          <w:sz w:val="25"/>
          <w:szCs w:val="25"/>
          <w:rtl w:val="0"/>
          <w:lang w:val="en-US"/>
        </w:rPr>
        <w:t>This would be incorrect and will also unnecessarily delay needed fuel reduction projects.</w:t>
      </w:r>
      <w:r>
        <w:rPr>
          <w:sz w:val="25"/>
          <w:szCs w:val="25"/>
          <w:rtl w:val="0"/>
          <w:lang w:val="en-US"/>
        </w:rPr>
        <w:t> </w:t>
      </w:r>
    </w:p>
    <w:p>
      <w:pPr>
        <w:pStyle w:val="Body A A"/>
        <w:rPr>
          <w:rFonts w:ascii="Arial" w:cs="Arial" w:hAnsi="Arial" w:eastAsia="Arial"/>
          <w:sz w:val="25"/>
          <w:szCs w:val="25"/>
        </w:rPr>
      </w:pPr>
    </w:p>
    <w:p>
      <w:pPr>
        <w:pStyle w:val="Body A A"/>
        <w:rPr>
          <w:sz w:val="25"/>
          <w:szCs w:val="25"/>
        </w:rPr>
      </w:pPr>
      <w:r>
        <w:rPr>
          <w:sz w:val="25"/>
          <w:szCs w:val="25"/>
          <w:rtl w:val="0"/>
          <w:lang w:val="en-US"/>
        </w:rPr>
        <w:t>First</w:t>
      </w:r>
      <w:r>
        <w:rPr>
          <w:sz w:val="25"/>
          <w:szCs w:val="25"/>
          <w:u w:val="single"/>
          <w:rtl w:val="0"/>
          <w:lang w:val="en-US"/>
        </w:rPr>
        <w:t>, offsets may not be created on National Forests under the ARB Forest Offset Protocol</w:t>
      </w:r>
      <w:r>
        <w:rPr>
          <w:sz w:val="25"/>
          <w:szCs w:val="25"/>
          <w:rtl w:val="0"/>
          <w:lang w:val="en-US"/>
        </w:rPr>
        <w:t>.</w:t>
      </w:r>
      <w:r>
        <w:rPr>
          <w:sz w:val="25"/>
          <w:szCs w:val="25"/>
          <w:rtl w:val="0"/>
          <w:lang w:val="en-US"/>
        </w:rPr>
        <w:t xml:space="preserve">  </w:t>
      </w:r>
      <w:r>
        <w:rPr>
          <w:sz w:val="25"/>
          <w:szCs w:val="25"/>
          <w:rtl w:val="0"/>
          <w:lang w:val="en-US"/>
        </w:rPr>
        <w:t>So no one is seeking to sell reductions that occur as a result of ecological thinning and forest restoration on National Forest lands.</w:t>
      </w:r>
      <w:r>
        <w:rPr>
          <w:sz w:val="25"/>
          <w:szCs w:val="25"/>
          <w:rtl w:val="0"/>
          <w:lang w:val="en-US"/>
        </w:rPr>
        <w:t> </w:t>
      </w:r>
    </w:p>
    <w:p>
      <w:pPr>
        <w:pStyle w:val="Body A A"/>
        <w:rPr>
          <w:rFonts w:ascii="Arial" w:cs="Arial" w:hAnsi="Arial" w:eastAsia="Arial"/>
          <w:sz w:val="25"/>
          <w:szCs w:val="25"/>
        </w:rPr>
      </w:pPr>
    </w:p>
    <w:p>
      <w:pPr>
        <w:pStyle w:val="Body A A"/>
        <w:rPr>
          <w:sz w:val="25"/>
          <w:szCs w:val="25"/>
        </w:rPr>
      </w:pPr>
      <w:r>
        <w:rPr>
          <w:sz w:val="25"/>
          <w:szCs w:val="25"/>
          <w:rtl w:val="0"/>
          <w:lang w:val="en-US"/>
        </w:rPr>
        <w:t>Second, the Forest Offset Protocol has thus far been used to show reductions in long term emissions and increased sequestration on private forest lands primarily as a result of lengthening harvest schedules and committing the land to forestry use.</w:t>
      </w:r>
      <w:r>
        <w:rPr>
          <w:sz w:val="25"/>
          <w:szCs w:val="25"/>
          <w:rtl w:val="0"/>
          <w:lang w:val="en-US"/>
        </w:rPr>
        <w:t xml:space="preserve">  </w:t>
      </w:r>
      <w:r>
        <w:rPr>
          <w:sz w:val="25"/>
          <w:szCs w:val="25"/>
          <w:rtl w:val="0"/>
          <w:lang w:val="en-US"/>
        </w:rPr>
        <w:t>It does not include a calculation of reduced fire related emissions.</w:t>
      </w:r>
      <w:r>
        <w:rPr>
          <w:sz w:val="25"/>
          <w:szCs w:val="25"/>
          <w:rtl w:val="0"/>
          <w:lang w:val="en-US"/>
        </w:rPr>
        <w:t xml:space="preserve">  </w:t>
      </w:r>
      <w:r>
        <w:rPr>
          <w:sz w:val="25"/>
          <w:szCs w:val="25"/>
          <w:rtl w:val="0"/>
          <w:lang w:val="en-US"/>
        </w:rPr>
        <w:t xml:space="preserve">In fact, it assumes that there will be no such emissions on the area covered by the offset. </w:t>
      </w:r>
      <w:r>
        <w:rPr>
          <w:sz w:val="25"/>
          <w:szCs w:val="25"/>
          <w:rtl w:val="0"/>
          <w:lang w:val="en-US"/>
        </w:rPr>
        <w:t xml:space="preserve">  </w:t>
      </w:r>
      <w:r>
        <w:rPr>
          <w:sz w:val="25"/>
          <w:szCs w:val="25"/>
          <w:rtl w:val="0"/>
          <w:lang w:val="en-US"/>
        </w:rPr>
        <w:t xml:space="preserve">A fire is regarded as a </w:t>
      </w:r>
      <w:r>
        <w:rPr>
          <w:sz w:val="25"/>
          <w:szCs w:val="25"/>
          <w:rtl w:val="0"/>
          <w:lang w:val="en-US"/>
        </w:rPr>
        <w:t>“</w:t>
      </w:r>
      <w:r>
        <w:rPr>
          <w:sz w:val="25"/>
          <w:szCs w:val="25"/>
          <w:rtl w:val="0"/>
          <w:lang w:val="en-US"/>
        </w:rPr>
        <w:t>reversal</w:t>
      </w:r>
      <w:r>
        <w:rPr>
          <w:sz w:val="25"/>
          <w:szCs w:val="25"/>
          <w:rtl w:val="0"/>
          <w:lang w:val="en-US"/>
        </w:rPr>
        <w:t xml:space="preserve">” </w:t>
      </w:r>
      <w:r>
        <w:rPr>
          <w:sz w:val="25"/>
          <w:szCs w:val="25"/>
          <w:rtl w:val="0"/>
          <w:lang w:val="en-US"/>
        </w:rPr>
        <w:t xml:space="preserve">which eliminates the value of the offset. </w:t>
      </w:r>
      <w:r>
        <w:rPr>
          <w:sz w:val="25"/>
          <w:szCs w:val="25"/>
          <w:rtl w:val="0"/>
          <w:lang w:val="en-US"/>
        </w:rPr>
        <w:t> </w:t>
      </w:r>
    </w:p>
    <w:p>
      <w:pPr>
        <w:pStyle w:val="Body A A"/>
        <w:rPr>
          <w:rFonts w:ascii="Arial" w:cs="Arial" w:hAnsi="Arial" w:eastAsia="Arial"/>
          <w:sz w:val="25"/>
          <w:szCs w:val="25"/>
        </w:rPr>
      </w:pPr>
    </w:p>
    <w:p>
      <w:pPr>
        <w:pStyle w:val="Body A A"/>
        <w:rPr>
          <w:sz w:val="25"/>
          <w:szCs w:val="25"/>
        </w:rPr>
      </w:pPr>
      <w:r>
        <w:rPr>
          <w:sz w:val="25"/>
          <w:szCs w:val="25"/>
          <w:rtl w:val="0"/>
          <w:lang w:val="en-US"/>
        </w:rPr>
        <w:t>As noted in the ARB</w:t>
      </w:r>
      <w:r>
        <w:rPr>
          <w:sz w:val="25"/>
          <w:szCs w:val="25"/>
          <w:rtl w:val="0"/>
          <w:lang w:val="en-US"/>
        </w:rPr>
        <w:t>’</w:t>
      </w:r>
      <w:r>
        <w:rPr>
          <w:sz w:val="25"/>
          <w:szCs w:val="25"/>
          <w:rtl w:val="0"/>
          <w:lang w:val="en-US"/>
        </w:rPr>
        <w:t>s Scoping Plan Update quoted above, thinning may temporarily reduce carbon stocks in order to reduce fire risk, but ultimately will increase forest biomass and carbon storage.</w:t>
      </w:r>
      <w:r>
        <w:rPr>
          <w:sz w:val="25"/>
          <w:szCs w:val="25"/>
          <w:rtl w:val="0"/>
          <w:lang w:val="en-US"/>
        </w:rPr>
        <w:t xml:space="preserve">  </w:t>
      </w:r>
      <w:r>
        <w:rPr>
          <w:sz w:val="25"/>
          <w:szCs w:val="25"/>
          <w:rtl w:val="0"/>
          <w:lang w:val="en-US"/>
        </w:rPr>
        <w:t>This may or may not occur during a ten year period as may be required under the Forest Protocol.</w:t>
      </w:r>
      <w:r>
        <w:rPr>
          <w:sz w:val="25"/>
          <w:szCs w:val="25"/>
          <w:rtl w:val="0"/>
          <w:lang w:val="en-US"/>
        </w:rPr>
        <w:t xml:space="preserve">  </w:t>
      </w:r>
      <w:r>
        <w:rPr>
          <w:sz w:val="25"/>
          <w:szCs w:val="25"/>
          <w:rtl w:val="0"/>
          <w:lang w:val="en-US"/>
        </w:rPr>
        <w:t>Clearly, the Forest Protocol</w:t>
      </w:r>
      <w:r>
        <w:rPr>
          <w:sz w:val="25"/>
          <w:szCs w:val="25"/>
          <w:rtl w:val="0"/>
          <w:lang w:val="en-US"/>
        </w:rPr>
        <w:t xml:space="preserve">  </w:t>
      </w:r>
      <w:r>
        <w:rPr>
          <w:sz w:val="25"/>
          <w:szCs w:val="25"/>
          <w:rtl w:val="0"/>
          <w:lang w:val="en-US"/>
        </w:rPr>
        <w:t xml:space="preserve">is not designed to apply to fuel reduction projects on National Forests. </w:t>
      </w:r>
      <w:r>
        <w:rPr>
          <w:sz w:val="25"/>
          <w:szCs w:val="25"/>
          <w:rtl w:val="0"/>
          <w:lang w:val="en-US"/>
        </w:rPr>
        <w:t> </w:t>
      </w:r>
    </w:p>
    <w:p>
      <w:pPr>
        <w:pStyle w:val="Body A A"/>
        <w:rPr>
          <w:rFonts w:ascii="Arial" w:cs="Arial" w:hAnsi="Arial" w:eastAsia="Arial"/>
          <w:sz w:val="25"/>
          <w:szCs w:val="25"/>
        </w:rPr>
      </w:pPr>
    </w:p>
    <w:p>
      <w:pPr>
        <w:pStyle w:val="Body A A"/>
        <w:rPr>
          <w:sz w:val="25"/>
          <w:szCs w:val="25"/>
        </w:rPr>
      </w:pPr>
      <w:r>
        <w:rPr>
          <w:sz w:val="25"/>
          <w:szCs w:val="25"/>
          <w:rtl w:val="0"/>
          <w:lang w:val="en-US"/>
        </w:rPr>
        <w:t>Third, and most importantly, the statutory requirement for GGRF investments to serve the purposes of AB32 does not require quantification to the same extent as for an offset that will be used to satisfy the requirement for purchase of allowances under cap and trade</w:t>
      </w:r>
      <w:r>
        <w:rPr>
          <w:sz w:val="25"/>
          <w:szCs w:val="25"/>
          <w:shd w:val="clear" w:color="auto" w:fill="fefefe"/>
          <w:rtl w:val="0"/>
          <w:lang w:val="en-US"/>
        </w:rPr>
        <w:t>.</w:t>
      </w:r>
      <w:r>
        <w:rPr>
          <w:sz w:val="25"/>
          <w:szCs w:val="25"/>
          <w:shd w:val="clear" w:color="auto" w:fill="fefefe"/>
          <w:rtl w:val="0"/>
          <w:lang w:val="en-US"/>
        </w:rPr>
        <w:t xml:space="preserve">  </w:t>
      </w:r>
      <w:r>
        <w:rPr>
          <w:sz w:val="25"/>
          <w:szCs w:val="25"/>
          <w:shd w:val="clear" w:color="auto" w:fill="fefefe"/>
          <w:rtl w:val="0"/>
          <w:lang w:val="en-US"/>
        </w:rPr>
        <w:t xml:space="preserve">For offsets the standard is </w:t>
      </w:r>
      <w:r>
        <w:rPr>
          <w:sz w:val="25"/>
          <w:szCs w:val="25"/>
          <w:shd w:val="clear" w:color="auto" w:fill="fefefe"/>
          <w:rtl w:val="0"/>
          <w:lang w:val="en-US"/>
        </w:rPr>
        <w:t>“</w:t>
      </w:r>
      <w:r>
        <w:rPr>
          <w:sz w:val="25"/>
          <w:szCs w:val="25"/>
          <w:shd w:val="clear" w:color="auto" w:fill="fefefe"/>
          <w:rtl w:val="0"/>
          <w:lang w:val="en-US"/>
        </w:rPr>
        <w:t>real, permanent, quantifiable, verifiable, and enforceable</w:t>
      </w:r>
      <w:r>
        <w:rPr>
          <w:sz w:val="25"/>
          <w:szCs w:val="25"/>
          <w:shd w:val="clear" w:color="auto" w:fill="fefefe"/>
          <w:rtl w:val="0"/>
          <w:lang w:val="en-US"/>
        </w:rPr>
        <w:t>”</w:t>
      </w:r>
      <w:r>
        <w:rPr>
          <w:sz w:val="25"/>
          <w:szCs w:val="25"/>
          <w:shd w:val="clear" w:color="auto" w:fill="fefefe"/>
          <w:rtl w:val="0"/>
          <w:lang w:val="en-US"/>
        </w:rPr>
        <w:t xml:space="preserve">.  </w:t>
      </w:r>
      <w:r>
        <w:rPr>
          <w:sz w:val="25"/>
          <w:szCs w:val="25"/>
          <w:u w:val="single"/>
          <w:shd w:val="clear" w:color="auto" w:fill="fefefe"/>
          <w:rtl w:val="0"/>
          <w:lang w:val="en-US"/>
        </w:rPr>
        <w:t>This standard of proof is not being applied to any other category of GGRF investments</w:t>
      </w:r>
      <w:r>
        <w:rPr>
          <w:sz w:val="25"/>
          <w:szCs w:val="25"/>
          <w:shd w:val="clear" w:color="auto" w:fill="fefefe"/>
          <w:rtl w:val="0"/>
          <w:lang w:val="en-US"/>
        </w:rPr>
        <w:t>.</w:t>
      </w:r>
      <w:r>
        <w:rPr>
          <w:sz w:val="25"/>
          <w:szCs w:val="25"/>
          <w:shd w:val="clear" w:color="auto" w:fill="fefefe"/>
          <w:rtl w:val="0"/>
          <w:lang w:val="en-US"/>
        </w:rPr>
        <w:t xml:space="preserve">  </w:t>
      </w:r>
      <w:r>
        <w:rPr>
          <w:sz w:val="25"/>
          <w:szCs w:val="25"/>
          <w:shd w:val="clear" w:color="auto" w:fill="fefefe"/>
          <w:rtl w:val="0"/>
          <w:lang w:val="en-US"/>
        </w:rPr>
        <w:t xml:space="preserve">It should not be applied to fuel reduction investments.  As noted in the Funding Guidelines (p. 15-16) the applicable statutes merely require that expenditures from the GGRF </w:t>
      </w:r>
      <w:r>
        <w:rPr>
          <w:sz w:val="25"/>
          <w:szCs w:val="25"/>
          <w:shd w:val="clear" w:color="auto" w:fill="fefefe"/>
          <w:rtl w:val="0"/>
          <w:lang w:val="en-US"/>
        </w:rPr>
        <w:t>“</w:t>
      </w:r>
      <w:r>
        <w:rPr>
          <w:sz w:val="25"/>
          <w:szCs w:val="25"/>
          <w:shd w:val="clear" w:color="auto" w:fill="fefefe"/>
          <w:rtl w:val="0"/>
          <w:lang w:val="en-US"/>
        </w:rPr>
        <w:t>facilitate</w:t>
      </w:r>
      <w:r>
        <w:rPr>
          <w:sz w:val="25"/>
          <w:szCs w:val="25"/>
          <w:shd w:val="clear" w:color="auto" w:fill="fefefe"/>
          <w:rtl w:val="0"/>
          <w:lang w:val="en-US"/>
        </w:rPr>
        <w:t xml:space="preserve">” </w:t>
      </w:r>
      <w:r>
        <w:rPr>
          <w:sz w:val="25"/>
          <w:szCs w:val="25"/>
          <w:shd w:val="clear" w:color="auto" w:fill="fefefe"/>
          <w:rtl w:val="0"/>
          <w:lang w:val="en-US"/>
        </w:rPr>
        <w:t xml:space="preserve">or </w:t>
      </w:r>
      <w:r>
        <w:rPr>
          <w:sz w:val="25"/>
          <w:szCs w:val="25"/>
          <w:shd w:val="clear" w:color="auto" w:fill="fefefe"/>
          <w:rtl w:val="0"/>
          <w:lang w:val="en-US"/>
        </w:rPr>
        <w:t>“</w:t>
      </w:r>
      <w:r>
        <w:rPr>
          <w:sz w:val="25"/>
          <w:szCs w:val="25"/>
          <w:shd w:val="clear" w:color="auto" w:fill="fefefe"/>
          <w:rtl w:val="0"/>
          <w:lang w:val="en-US"/>
        </w:rPr>
        <w:t>contribute</w:t>
      </w:r>
      <w:r>
        <w:rPr>
          <w:sz w:val="25"/>
          <w:szCs w:val="25"/>
          <w:shd w:val="clear" w:color="auto" w:fill="fefefe"/>
          <w:rtl w:val="0"/>
          <w:lang w:val="en-US"/>
        </w:rPr>
        <w:t xml:space="preserve">” </w:t>
      </w:r>
      <w:r>
        <w:rPr>
          <w:sz w:val="25"/>
          <w:szCs w:val="25"/>
          <w:shd w:val="clear" w:color="auto" w:fill="fefefe"/>
          <w:rtl w:val="0"/>
          <w:lang w:val="en-US"/>
        </w:rPr>
        <w:t>to reductions.  Ecological thinning and forest restoration projects clearly accomplish this purpose</w:t>
      </w:r>
      <w:r>
        <w:rPr>
          <w:sz w:val="25"/>
          <w:szCs w:val="25"/>
          <w:shd w:val="clear" w:color="auto" w:fill="c0c0c0"/>
          <w:rtl w:val="0"/>
          <w:lang w:val="en-US"/>
        </w:rPr>
        <w:t>.</w:t>
      </w:r>
    </w:p>
    <w:p>
      <w:pPr>
        <w:pStyle w:val="Body A A"/>
        <w:rPr>
          <w:rFonts w:ascii="Arial" w:cs="Arial" w:hAnsi="Arial" w:eastAsia="Arial"/>
          <w:sz w:val="25"/>
          <w:szCs w:val="25"/>
        </w:rPr>
      </w:pPr>
    </w:p>
    <w:p>
      <w:pPr>
        <w:pStyle w:val="Body A A"/>
        <w:rPr>
          <w:b w:val="1"/>
          <w:bCs w:val="1"/>
          <w:sz w:val="25"/>
          <w:szCs w:val="25"/>
        </w:rPr>
      </w:pPr>
      <w:r>
        <w:rPr>
          <w:b w:val="1"/>
          <w:bCs w:val="1"/>
          <w:sz w:val="25"/>
          <w:szCs w:val="25"/>
          <w:rtl w:val="0"/>
          <w:lang w:val="en-US"/>
        </w:rPr>
        <w:t>3.</w:t>
        <w:tab/>
        <w:t>Revise the ARB</w:t>
      </w:r>
      <w:r>
        <w:rPr>
          <w:b w:val="1"/>
          <w:bCs w:val="1"/>
          <w:sz w:val="25"/>
          <w:szCs w:val="25"/>
          <w:rtl w:val="0"/>
          <w:lang w:val="en-US"/>
        </w:rPr>
        <w:t>’</w:t>
      </w:r>
      <w:r>
        <w:rPr>
          <w:b w:val="1"/>
          <w:bCs w:val="1"/>
          <w:sz w:val="25"/>
          <w:szCs w:val="25"/>
          <w:rtl w:val="0"/>
          <w:lang w:val="en-US"/>
        </w:rPr>
        <w:t xml:space="preserve">s requirements as to disadvantaged communities to include rural forested communities that currently do not necessarily qualify. </w:t>
      </w:r>
      <w:r>
        <w:rPr>
          <w:b w:val="1"/>
          <w:bCs w:val="1"/>
          <w:sz w:val="25"/>
          <w:szCs w:val="25"/>
          <w:rtl w:val="0"/>
          <w:lang w:val="en-US"/>
        </w:rPr>
        <w:t xml:space="preserve">  </w:t>
      </w:r>
      <w:r>
        <w:rPr>
          <w:b w:val="1"/>
          <w:bCs w:val="1"/>
          <w:sz w:val="25"/>
          <w:szCs w:val="25"/>
          <w:rtl w:val="0"/>
          <w:lang w:val="en-US"/>
        </w:rPr>
        <w:t>Assure that applications do not require submittal of detailed information concerning effects on and benefits to disadvantaged communities if they do not claim such direct effects benefits under existing identification criteri</w:t>
      </w:r>
      <w:r>
        <w:rPr>
          <w:b w:val="1"/>
          <w:bCs w:val="1"/>
          <w:sz w:val="25"/>
          <w:szCs w:val="25"/>
          <w:shd w:val="clear" w:color="auto" w:fill="fefefe"/>
          <w:rtl w:val="0"/>
          <w:lang w:val="en-US"/>
        </w:rPr>
        <w:t>a</w:t>
      </w:r>
      <w:r>
        <w:rPr>
          <w:sz w:val="25"/>
          <w:szCs w:val="25"/>
          <w:shd w:val="clear" w:color="auto" w:fill="fefefe"/>
          <w:rtl w:val="0"/>
          <w:lang w:val="en-US"/>
        </w:rPr>
        <w:t xml:space="preserve">.  </w:t>
      </w:r>
      <w:r>
        <w:rPr>
          <w:b w:val="1"/>
          <w:bCs w:val="1"/>
          <w:sz w:val="25"/>
          <w:szCs w:val="25"/>
          <w:shd w:val="clear" w:color="auto" w:fill="fefefe"/>
          <w:rtl w:val="0"/>
          <w:lang w:val="en-US"/>
        </w:rPr>
        <w:t>Add fuel reduction and biomass utilization projects to Table 2.A-6, Volume 2, page 2A-13.</w:t>
      </w:r>
    </w:p>
    <w:p>
      <w:pPr>
        <w:pStyle w:val="Body A A"/>
        <w:rPr>
          <w:rFonts w:ascii="Arial" w:cs="Arial" w:hAnsi="Arial" w:eastAsia="Arial"/>
          <w:sz w:val="25"/>
          <w:szCs w:val="25"/>
        </w:rPr>
      </w:pPr>
    </w:p>
    <w:p>
      <w:pPr>
        <w:pStyle w:val="Body A A"/>
        <w:rPr>
          <w:sz w:val="25"/>
          <w:szCs w:val="25"/>
        </w:rPr>
      </w:pPr>
      <w:r>
        <w:rPr>
          <w:sz w:val="25"/>
          <w:szCs w:val="25"/>
          <w:rtl w:val="0"/>
          <w:lang w:val="en-US"/>
        </w:rPr>
        <w:t>As has been pointed out in recent testimony at the ARB workshop on the Funding Guidelines on August 3rd by representatives of the Rural County Representatives of</w:t>
      </w:r>
      <w:r>
        <w:rPr>
          <w:sz w:val="25"/>
          <w:szCs w:val="25"/>
          <w:rtl w:val="0"/>
          <w:lang w:val="en-US"/>
        </w:rPr>
        <w:t xml:space="preserve">  </w:t>
      </w:r>
      <w:r>
        <w:rPr>
          <w:sz w:val="25"/>
          <w:szCs w:val="25"/>
          <w:rtl w:val="0"/>
          <w:lang w:val="en-US"/>
        </w:rPr>
        <w:t xml:space="preserve">California and on August 5th by the Jonathon Kusel of the Sierra Institute for Community and the Environment, the CalEnviroScreen tool currently employed by ARB to identify disadvantaged communities largely excludes low income rural communities. Numerous communities in the region adjacent to the Stanislaus National Forest and other regions of the Sierra Nevada forests are disadvantaged yet rate low on the CalEnviroScreen analysis. </w:t>
      </w:r>
      <w:r>
        <w:rPr>
          <w:sz w:val="25"/>
          <w:szCs w:val="25"/>
          <w:rtl w:val="0"/>
          <w:lang w:val="en-US"/>
        </w:rPr>
        <w:t> </w:t>
      </w:r>
      <w:r>
        <w:rPr>
          <w:sz w:val="25"/>
          <w:szCs w:val="25"/>
          <w:rtl w:val="0"/>
          <w:lang w:val="en-US"/>
        </w:rPr>
        <w:t>YSS recommends that either the screening tool be revised</w:t>
      </w:r>
      <w:r>
        <w:rPr>
          <w:sz w:val="25"/>
          <w:szCs w:val="25"/>
          <w:rtl w:val="0"/>
          <w:lang w:val="en-US"/>
        </w:rPr>
        <w:t> </w:t>
      </w:r>
      <w:r>
        <w:rPr>
          <w:sz w:val="25"/>
          <w:szCs w:val="25"/>
          <w:rtl w:val="0"/>
          <w:lang w:val="en-US"/>
        </w:rPr>
        <w:t>to better address rural community conditions or that a separate screen be developed for rural areas.</w:t>
      </w:r>
      <w:r>
        <w:rPr>
          <w:sz w:val="25"/>
          <w:szCs w:val="25"/>
          <w:rtl w:val="0"/>
          <w:lang w:val="en-US"/>
        </w:rPr>
        <w:t xml:space="preserve">  </w:t>
      </w:r>
      <w:r>
        <w:rPr>
          <w:sz w:val="25"/>
          <w:szCs w:val="25"/>
          <w:rtl w:val="0"/>
          <w:lang w:val="en-US"/>
        </w:rPr>
        <w:t>The present system is skewed to overweight urban related factors as demonstrated by the map of disadvantaged areas published by ARB.</w:t>
      </w:r>
      <w:r>
        <w:rPr>
          <w:sz w:val="25"/>
          <w:szCs w:val="25"/>
          <w:rtl w:val="0"/>
          <w:lang w:val="en-US"/>
        </w:rPr>
        <w:t xml:space="preserve">  </w:t>
      </w:r>
      <w:r>
        <w:rPr>
          <w:sz w:val="25"/>
          <w:szCs w:val="25"/>
          <w:rtl w:val="0"/>
          <w:lang w:val="en-US"/>
        </w:rPr>
        <w:t>We also note that fuel reduction projects may provide employment opportunities for persons in Central Valley disadvantaged communities.</w:t>
      </w:r>
    </w:p>
    <w:p>
      <w:pPr>
        <w:pStyle w:val="Body A A"/>
        <w:rPr>
          <w:rFonts w:ascii="Arial" w:cs="Arial" w:hAnsi="Arial" w:eastAsia="Arial"/>
          <w:sz w:val="25"/>
          <w:szCs w:val="25"/>
        </w:rPr>
      </w:pPr>
    </w:p>
    <w:p>
      <w:pPr>
        <w:pStyle w:val="Body A A"/>
        <w:rPr>
          <w:sz w:val="25"/>
          <w:szCs w:val="25"/>
        </w:rPr>
      </w:pPr>
      <w:r>
        <w:rPr>
          <w:sz w:val="25"/>
          <w:szCs w:val="25"/>
          <w:rtl w:val="0"/>
          <w:lang w:val="en-US"/>
        </w:rPr>
        <w:t>If no changes are made in the coming funding cycle to the identification of disadvantaged communities, the Funding Guidelines should more clearly state that application and reporting requirements relating to disadvantaged communities only apply to funding solicitations and applications that claim a benefit to</w:t>
      </w:r>
      <w:r>
        <w:rPr>
          <w:sz w:val="25"/>
          <w:szCs w:val="25"/>
          <w:rtl w:val="0"/>
          <w:lang w:val="en-US"/>
        </w:rPr>
        <w:t xml:space="preserve">  </w:t>
      </w:r>
      <w:r>
        <w:rPr>
          <w:sz w:val="25"/>
          <w:szCs w:val="25"/>
          <w:rtl w:val="0"/>
          <w:lang w:val="en-US"/>
        </w:rPr>
        <w:t xml:space="preserve">such communities. </w:t>
      </w:r>
      <w:r>
        <w:rPr>
          <w:sz w:val="25"/>
          <w:szCs w:val="25"/>
          <w:rtl w:val="0"/>
          <w:lang w:val="en-US"/>
        </w:rPr>
        <w:t xml:space="preserve">  </w:t>
      </w:r>
      <w:r>
        <w:rPr>
          <w:sz w:val="25"/>
          <w:szCs w:val="25"/>
          <w:rtl w:val="0"/>
          <w:lang w:val="en-US"/>
        </w:rPr>
        <w:t>Particularly with the additional requirements added by the July Supplement, funding solicitations and applications that can benefit disadvantaged communities will be significantly more onerous to prepare and implement.</w:t>
      </w:r>
      <w:r>
        <w:rPr>
          <w:sz w:val="25"/>
          <w:szCs w:val="25"/>
          <w:rtl w:val="0"/>
          <w:lang w:val="en-US"/>
        </w:rPr>
        <w:t xml:space="preserve">  </w:t>
      </w:r>
      <w:r>
        <w:rPr>
          <w:sz w:val="25"/>
          <w:szCs w:val="25"/>
          <w:rtl w:val="0"/>
          <w:lang w:val="en-US"/>
        </w:rPr>
        <w:t xml:space="preserve">These requirements should clearly be required only where applicable. </w:t>
      </w:r>
      <w:r>
        <w:rPr>
          <w:sz w:val="25"/>
          <w:szCs w:val="25"/>
          <w:rtl w:val="0"/>
          <w:lang w:val="en-US"/>
        </w:rPr>
        <w:t> </w:t>
      </w:r>
    </w:p>
    <w:p>
      <w:pPr>
        <w:pStyle w:val="Body A A"/>
        <w:rPr>
          <w:rFonts w:ascii="Arial" w:cs="Arial" w:hAnsi="Arial" w:eastAsia="Arial"/>
          <w:sz w:val="25"/>
          <w:szCs w:val="25"/>
        </w:rPr>
      </w:pPr>
    </w:p>
    <w:p>
      <w:pPr>
        <w:pStyle w:val="Body A A"/>
        <w:rPr>
          <w:sz w:val="25"/>
          <w:szCs w:val="25"/>
        </w:rPr>
      </w:pPr>
      <w:r>
        <w:rPr>
          <w:sz w:val="25"/>
          <w:szCs w:val="25"/>
          <w:rtl w:val="0"/>
          <w:lang w:val="en-US"/>
        </w:rPr>
        <w:t>Requirements concerning benefiting disadvantaged communities as supplemented by SB 535 are a valuable addition to the programs developed under AB32.</w:t>
      </w:r>
      <w:r>
        <w:rPr>
          <w:sz w:val="25"/>
          <w:szCs w:val="25"/>
          <w:rtl w:val="0"/>
          <w:lang w:val="en-US"/>
        </w:rPr>
        <w:t xml:space="preserve">    </w:t>
      </w:r>
      <w:r>
        <w:rPr>
          <w:sz w:val="25"/>
          <w:szCs w:val="25"/>
          <w:rtl w:val="0"/>
          <w:lang w:val="en-US"/>
        </w:rPr>
        <w:t>However, we respectfully note that while there are many other valuable social, economic, and educational programs aimed at disadvantaged communities there really is only one in California directed at reducing GHG concentrations in the atmosphere.</w:t>
      </w:r>
      <w:r>
        <w:rPr>
          <w:sz w:val="25"/>
          <w:szCs w:val="25"/>
          <w:rtl w:val="0"/>
          <w:lang w:val="en-US"/>
        </w:rPr>
        <w:t xml:space="preserve">  </w:t>
      </w:r>
      <w:r>
        <w:rPr>
          <w:sz w:val="25"/>
          <w:szCs w:val="25"/>
          <w:rtl w:val="0"/>
          <w:lang w:val="en-US"/>
        </w:rPr>
        <w:t>To be effective, the primary goal of AB32 remains to reduce emissions and increase sequestration of GHGs.</w:t>
      </w:r>
      <w:r>
        <w:rPr>
          <w:sz w:val="25"/>
          <w:szCs w:val="25"/>
          <w:rtl w:val="0"/>
          <w:lang w:val="en-US"/>
        </w:rPr>
        <w:t xml:space="preserve">  </w:t>
      </w:r>
      <w:r>
        <w:rPr>
          <w:sz w:val="25"/>
          <w:szCs w:val="25"/>
          <w:rtl w:val="0"/>
          <w:lang w:val="en-US"/>
        </w:rPr>
        <w:t>Failure to achieve that goal will disadvantage all communities, particularly the most disadvantaged of our communities.</w:t>
      </w:r>
      <w:r>
        <w:rPr>
          <w:sz w:val="25"/>
          <w:szCs w:val="25"/>
          <w:rtl w:val="0"/>
          <w:lang w:val="en-US"/>
        </w:rPr>
        <w:t xml:space="preserve">  </w:t>
      </w:r>
    </w:p>
    <w:p>
      <w:pPr>
        <w:pStyle w:val="Body A A"/>
        <w:rPr>
          <w:rFonts w:ascii="Arial" w:cs="Arial" w:hAnsi="Arial" w:eastAsia="Arial"/>
          <w:sz w:val="25"/>
          <w:szCs w:val="25"/>
        </w:rPr>
      </w:pPr>
    </w:p>
    <w:p>
      <w:pPr>
        <w:pStyle w:val="Body A A"/>
        <w:rPr>
          <w:sz w:val="25"/>
          <w:szCs w:val="25"/>
          <w:shd w:val="clear" w:color="auto" w:fill="fefefe"/>
        </w:rPr>
      </w:pPr>
      <w:r>
        <w:rPr>
          <w:sz w:val="25"/>
          <w:szCs w:val="25"/>
          <w:shd w:val="clear" w:color="auto" w:fill="fefefe"/>
          <w:rtl w:val="0"/>
          <w:lang w:val="en-US"/>
        </w:rPr>
        <w:t>A final technical point is that to the extent disadvantaged communities could be benefited by employment opportunities, fuel reduction projects should qualify.  However, the criteria for Land Preservation or Restoration in Volume 2, Appendix 2.A, Table 2.A-6, p. 2A.-13, does not include fuel reduction projects that are already eligible under CalFire funding guidelines.  Therefore, these projects should be added to the table heading.</w:t>
      </w:r>
    </w:p>
    <w:p>
      <w:pPr>
        <w:pStyle w:val="Body A A"/>
        <w:rPr>
          <w:rFonts w:ascii="Arial" w:cs="Arial" w:hAnsi="Arial" w:eastAsia="Arial"/>
          <w:sz w:val="25"/>
          <w:szCs w:val="25"/>
          <w:shd w:val="clear" w:color="auto" w:fill="fefefe"/>
        </w:rPr>
      </w:pPr>
    </w:p>
    <w:p>
      <w:pPr>
        <w:pStyle w:val="Body A A"/>
        <w:rPr>
          <w:rFonts w:ascii="Arial" w:cs="Arial" w:hAnsi="Arial" w:eastAsia="Arial"/>
          <w:sz w:val="25"/>
          <w:szCs w:val="25"/>
          <w:shd w:val="clear" w:color="auto" w:fill="fefefe"/>
        </w:rPr>
      </w:pPr>
    </w:p>
    <w:p>
      <w:pPr>
        <w:pStyle w:val="Body A A"/>
        <w:rPr>
          <w:sz w:val="25"/>
          <w:szCs w:val="25"/>
          <w:shd w:val="clear" w:color="auto" w:fill="fefefe"/>
        </w:rPr>
      </w:pPr>
      <w:r>
        <w:rPr>
          <w:sz w:val="25"/>
          <w:szCs w:val="25"/>
          <w:shd w:val="clear" w:color="auto" w:fill="fefefe"/>
          <w:rtl w:val="0"/>
          <w:lang w:val="en-US"/>
        </w:rPr>
        <w:t>Recommendation Additional Language for the Funding Guidelines</w:t>
      </w:r>
    </w:p>
    <w:p>
      <w:pPr>
        <w:pStyle w:val="Body A A"/>
        <w:rPr>
          <w:rFonts w:ascii="Arial" w:cs="Arial" w:hAnsi="Arial" w:eastAsia="Arial"/>
          <w:sz w:val="25"/>
          <w:szCs w:val="25"/>
          <w:shd w:val="clear" w:color="auto" w:fill="fefefe"/>
        </w:rPr>
      </w:pPr>
    </w:p>
    <w:p>
      <w:pPr>
        <w:pStyle w:val="Body A A"/>
        <w:rPr>
          <w:sz w:val="25"/>
          <w:szCs w:val="25"/>
          <w:shd w:val="clear" w:color="auto" w:fill="fefefe"/>
        </w:rPr>
      </w:pPr>
      <w:r>
        <w:rPr>
          <w:sz w:val="25"/>
          <w:szCs w:val="25"/>
          <w:shd w:val="clear" w:color="auto" w:fill="fefefe"/>
          <w:rtl w:val="0"/>
          <w:lang w:val="en-US"/>
        </w:rPr>
        <w:t>To address the concerns we have set forth above, YSS recommends the following language be added to the Funding Guidelines:</w:t>
      </w:r>
    </w:p>
    <w:p>
      <w:pPr>
        <w:pStyle w:val="Body A A"/>
        <w:rPr>
          <w:rFonts w:ascii="Arial" w:cs="Arial" w:hAnsi="Arial" w:eastAsia="Arial"/>
          <w:sz w:val="25"/>
          <w:szCs w:val="25"/>
          <w:shd w:val="clear" w:color="auto" w:fill="fefefe"/>
        </w:rPr>
      </w:pPr>
    </w:p>
    <w:p>
      <w:pPr>
        <w:pStyle w:val="Body A A"/>
        <w:spacing w:after="200"/>
        <w:rPr>
          <w:sz w:val="25"/>
          <w:szCs w:val="25"/>
          <w:shd w:val="clear" w:color="auto" w:fill="fefefe"/>
        </w:rPr>
      </w:pPr>
      <w:r>
        <w:rPr>
          <w:sz w:val="25"/>
          <w:szCs w:val="25"/>
          <w:shd w:val="clear" w:color="auto" w:fill="fefefe"/>
          <w:rtl w:val="0"/>
          <w:lang w:val="en-US"/>
        </w:rPr>
        <w:t xml:space="preserve">Page 17, Volume 1 of Draft Funding Guidelines, prior to section heading </w:t>
      </w:r>
      <w:r>
        <w:rPr>
          <w:sz w:val="25"/>
          <w:szCs w:val="25"/>
          <w:shd w:val="clear" w:color="auto" w:fill="fefefe"/>
          <w:rtl w:val="0"/>
          <w:lang w:val="en-US"/>
        </w:rPr>
        <w:t>“</w:t>
      </w:r>
      <w:r>
        <w:rPr>
          <w:sz w:val="25"/>
          <w:szCs w:val="25"/>
          <w:shd w:val="clear" w:color="auto" w:fill="fefefe"/>
          <w:rtl w:val="0"/>
          <w:lang w:val="en-US"/>
        </w:rPr>
        <w:t>Initial Process</w:t>
      </w:r>
      <w:r>
        <w:rPr>
          <w:sz w:val="25"/>
          <w:szCs w:val="25"/>
          <w:shd w:val="clear" w:color="auto" w:fill="fefefe"/>
          <w:rtl w:val="0"/>
          <w:lang w:val="en-US"/>
        </w:rPr>
        <w:t xml:space="preserve">” </w:t>
      </w:r>
      <w:r>
        <w:rPr>
          <w:sz w:val="25"/>
          <w:szCs w:val="25"/>
          <w:shd w:val="clear" w:color="auto" w:fill="fefefe"/>
          <w:rtl w:val="0"/>
          <w:lang w:val="en-US"/>
        </w:rPr>
        <w:t>add the following:</w:t>
      </w:r>
    </w:p>
    <w:p>
      <w:pPr>
        <w:pStyle w:val="Body A A"/>
        <w:spacing w:after="200"/>
        <w:rPr>
          <w:i w:val="1"/>
          <w:iCs w:val="1"/>
          <w:sz w:val="25"/>
          <w:szCs w:val="25"/>
          <w:shd w:val="clear" w:color="auto" w:fill="fefefe"/>
        </w:rPr>
      </w:pPr>
      <w:r>
        <w:rPr>
          <w:i w:val="1"/>
          <w:iCs w:val="1"/>
          <w:sz w:val="25"/>
          <w:szCs w:val="25"/>
          <w:shd w:val="clear" w:color="auto" w:fill="fefefe"/>
          <w:rtl w:val="0"/>
          <w:lang w:val="en-US"/>
        </w:rPr>
        <w:t>Statutory requirements for Climate Investment projects utilizing GGRF funds are to further the purposes of AB32 and facilitate or contribute to reductions.     There are many practical limitations to quantification of emissions because of the diverse and complex activities which may affect emissions.   Reduction calculations also require reasonable predictions of future human and natural system behaviors and events.  Therefore, quantification of reductions is necessarily subject to a rule of reason such that at the time of funding projects there is a clear reduction associated with the project and a reasonable quantification, based upon currently available data, of GHG reductions.      Reductions related to Climate Investment projects are not subject to the requirements of  approved ARB Offset protocols provided that no offsets are sought from forecasted reductions.</w:t>
      </w:r>
    </w:p>
    <w:p>
      <w:pPr>
        <w:pStyle w:val="Body A A"/>
        <w:spacing w:after="200"/>
        <w:rPr>
          <w:sz w:val="25"/>
          <w:szCs w:val="25"/>
          <w:shd w:val="clear" w:color="auto" w:fill="fefefe"/>
        </w:rPr>
      </w:pPr>
      <w:r>
        <w:rPr>
          <w:sz w:val="25"/>
          <w:szCs w:val="25"/>
          <w:shd w:val="clear" w:color="auto" w:fill="fefefe"/>
          <w:rtl w:val="0"/>
          <w:lang w:val="en-US"/>
        </w:rPr>
        <w:t>Page 5, Volume 2 of Draft Funding Guidelines add the following additional paragraph:</w:t>
      </w:r>
    </w:p>
    <w:p>
      <w:pPr>
        <w:pStyle w:val="Default"/>
        <w:rPr>
          <w:rFonts w:ascii="Univers LT Std 55" w:cs="Univers LT Std 55" w:hAnsi="Univers LT Std 55" w:eastAsia="Univers LT Std 55"/>
          <w:i w:val="1"/>
          <w:iCs w:val="1"/>
          <w:sz w:val="25"/>
          <w:szCs w:val="25"/>
          <w:u w:color="000000"/>
          <w:shd w:val="clear" w:color="auto" w:fill="fefefe"/>
        </w:rPr>
      </w:pPr>
      <w:r>
        <w:rPr>
          <w:rFonts w:ascii="Univers LT Std 55" w:cs="Univers LT Std 55" w:hAnsi="Univers LT Std 55" w:eastAsia="Univers LT Std 55"/>
          <w:i w:val="1"/>
          <w:iCs w:val="1"/>
          <w:sz w:val="25"/>
          <w:szCs w:val="25"/>
          <w:u w:color="000000"/>
          <w:shd w:val="clear" w:color="auto" w:fill="fefefe"/>
          <w:rtl w:val="0"/>
          <w:lang w:val="en-US"/>
        </w:rPr>
        <w:t>Concerns have been raised that CalEnviroScreen may not adequately identify disadvantaged rural communities. Such communities may also meet elements of the SB535 critieria, such as areas with concentrations of people that are of low income, high unemployment, low levels of homeownership, high rent burden, sensitive populations, or low levels of educational attainment.  ARB will be further evaluating means of either adding additional criteria to CalEnviroScreen or developing other means to more fully consider the status and needs of rural communities.</w:t>
      </w:r>
    </w:p>
    <w:p>
      <w:pPr>
        <w:pStyle w:val="Default"/>
        <w:rPr>
          <w:rFonts w:ascii="Arial" w:cs="Arial" w:hAnsi="Arial" w:eastAsia="Arial"/>
          <w:sz w:val="25"/>
          <w:szCs w:val="25"/>
          <w:u w:color="000000"/>
          <w:shd w:val="clear" w:color="auto" w:fill="fefefe"/>
        </w:rPr>
      </w:pPr>
    </w:p>
    <w:p>
      <w:pPr>
        <w:pStyle w:val="Default"/>
        <w:rPr>
          <w:rFonts w:ascii="Univers LT Std 55" w:cs="Univers LT Std 55" w:hAnsi="Univers LT Std 55" w:eastAsia="Univers LT Std 55"/>
          <w:sz w:val="25"/>
          <w:szCs w:val="25"/>
          <w:u w:color="000000"/>
          <w:shd w:val="clear" w:color="auto" w:fill="fefefe"/>
        </w:rPr>
      </w:pPr>
      <w:r>
        <w:rPr>
          <w:rFonts w:ascii="Univers LT Std 55" w:cs="Univers LT Std 55" w:hAnsi="Univers LT Std 55" w:eastAsia="Univers LT Std 55"/>
          <w:sz w:val="25"/>
          <w:szCs w:val="25"/>
          <w:u w:color="000000"/>
          <w:shd w:val="clear" w:color="auto" w:fill="fefefe"/>
          <w:rtl w:val="0"/>
          <w:lang w:val="en-US"/>
        </w:rPr>
        <w:t xml:space="preserve"> </w:t>
      </w:r>
    </w:p>
    <w:p>
      <w:pPr>
        <w:pStyle w:val="Default"/>
        <w:rPr>
          <w:rFonts w:ascii="Univers LT Std 55" w:cs="Univers LT Std 55" w:hAnsi="Univers LT Std 55" w:eastAsia="Univers LT Std 55"/>
          <w:sz w:val="25"/>
          <w:szCs w:val="25"/>
          <w:u w:color="000000"/>
          <w:shd w:val="clear" w:color="auto" w:fill="fefefe"/>
        </w:rPr>
      </w:pPr>
      <w:r>
        <w:rPr>
          <w:rFonts w:ascii="Univers LT Std 55" w:cs="Univers LT Std 55" w:hAnsi="Univers LT Std 55" w:eastAsia="Univers LT Std 55"/>
          <w:sz w:val="25"/>
          <w:szCs w:val="25"/>
          <w:u w:color="000000"/>
          <w:shd w:val="clear" w:color="auto" w:fill="fefefe"/>
          <w:rtl w:val="0"/>
          <w:lang w:val="en-US"/>
        </w:rPr>
        <w:t xml:space="preserve">Page 11 Volume 2 before heading number 2, </w:t>
      </w:r>
      <w:r>
        <w:rPr>
          <w:rFonts w:ascii="Univers LT Std 55" w:cs="Univers LT Std 55" w:hAnsi="Univers LT Std 55" w:eastAsia="Univers LT Std 55"/>
          <w:sz w:val="25"/>
          <w:szCs w:val="25"/>
          <w:u w:color="000000"/>
          <w:shd w:val="clear" w:color="auto" w:fill="fefefe"/>
          <w:rtl w:val="0"/>
          <w:lang w:val="en-US"/>
        </w:rPr>
        <w:t>“</w:t>
      </w:r>
      <w:r>
        <w:rPr>
          <w:rFonts w:ascii="Univers LT Std 55" w:cs="Univers LT Std 55" w:hAnsi="Univers LT Std 55" w:eastAsia="Univers LT Std 55"/>
          <w:sz w:val="25"/>
          <w:szCs w:val="25"/>
          <w:u w:color="000000"/>
          <w:shd w:val="clear" w:color="auto" w:fill="fefefe"/>
          <w:rtl w:val="0"/>
          <w:lang w:val="en-US"/>
        </w:rPr>
        <w:t>Requirements for agencies having investments that may be located within or provide benefits to disadvantaged communities (see Appendix 2.A)</w:t>
      </w:r>
      <w:r>
        <w:rPr>
          <w:rFonts w:ascii="Univers LT Std 55" w:cs="Univers LT Std 55" w:hAnsi="Univers LT Std 55" w:eastAsia="Univers LT Std 55"/>
          <w:sz w:val="25"/>
          <w:szCs w:val="25"/>
          <w:u w:color="000000"/>
          <w:shd w:val="clear" w:color="auto" w:fill="fefefe"/>
          <w:rtl w:val="0"/>
          <w:lang w:val="en-US"/>
        </w:rPr>
        <w:t>”</w:t>
      </w:r>
      <w:r>
        <w:rPr>
          <w:rFonts w:ascii="Univers LT Std 55" w:cs="Univers LT Std 55" w:hAnsi="Univers LT Std 55" w:eastAsia="Univers LT Std 55"/>
          <w:sz w:val="25"/>
          <w:szCs w:val="25"/>
          <w:u w:color="000000"/>
          <w:shd w:val="clear" w:color="auto" w:fill="fefefe"/>
          <w:rtl w:val="0"/>
          <w:lang w:val="en-US"/>
        </w:rPr>
        <w:t>:</w:t>
      </w:r>
    </w:p>
    <w:p>
      <w:pPr>
        <w:pStyle w:val="Default"/>
        <w:rPr>
          <w:rFonts w:ascii="Arial" w:cs="Arial" w:hAnsi="Arial" w:eastAsia="Arial"/>
          <w:sz w:val="25"/>
          <w:szCs w:val="25"/>
          <w:u w:color="000000"/>
          <w:shd w:val="clear" w:color="auto" w:fill="fefefe"/>
        </w:rPr>
      </w:pPr>
    </w:p>
    <w:p>
      <w:pPr>
        <w:pStyle w:val="Default"/>
        <w:rPr>
          <w:rFonts w:ascii="Univers LT Std 55" w:cs="Univers LT Std 55" w:hAnsi="Univers LT Std 55" w:eastAsia="Univers LT Std 55"/>
          <w:i w:val="1"/>
          <w:iCs w:val="1"/>
          <w:sz w:val="25"/>
          <w:szCs w:val="25"/>
          <w:u w:color="000000"/>
          <w:shd w:val="clear" w:color="auto" w:fill="fefefe"/>
        </w:rPr>
      </w:pPr>
      <w:r>
        <w:rPr>
          <w:rFonts w:ascii="Univers LT Std 55" w:cs="Univers LT Std 55" w:hAnsi="Univers LT Std 55" w:eastAsia="Univers LT Std 55"/>
          <w:i w:val="1"/>
          <w:iCs w:val="1"/>
          <w:sz w:val="25"/>
          <w:szCs w:val="25"/>
          <w:u w:color="000000"/>
          <w:shd w:val="clear" w:color="auto" w:fill="fefefe"/>
          <w:rtl w:val="0"/>
          <w:lang w:val="en-US"/>
        </w:rPr>
        <w:t>If a funding agency or an applicant for funding does not assert that the project does not significantly benefit disadvantaged communities under the currently applicable criteria, then no further information concerning benefits to disadvantaged communities need be provided.</w:t>
      </w:r>
    </w:p>
    <w:p>
      <w:pPr>
        <w:pStyle w:val="Default"/>
        <w:rPr>
          <w:rFonts w:ascii="Aparajita" w:cs="Aparajita" w:hAnsi="Aparajita" w:eastAsia="Aparajita"/>
          <w:i w:val="1"/>
          <w:iCs w:val="1"/>
          <w:color w:val="0d0d0d"/>
          <w:sz w:val="25"/>
          <w:szCs w:val="25"/>
          <w:u w:color="0d0d0d"/>
          <w:shd w:val="clear" w:color="auto" w:fill="fefefe"/>
        </w:rPr>
      </w:pPr>
    </w:p>
    <w:p>
      <w:pPr>
        <w:pStyle w:val="Body A"/>
        <w:jc w:val="center"/>
        <w:rPr>
          <w:rFonts w:ascii="Aparajita" w:cs="Aparajita" w:hAnsi="Aparajita" w:eastAsia="Aparajita"/>
          <w:i w:val="1"/>
          <w:iCs w:val="1"/>
          <w:color w:val="0d0d0d"/>
          <w:sz w:val="25"/>
          <w:szCs w:val="25"/>
          <w:u w:color="0d0d0d"/>
          <w:lang w:val="en-US"/>
        </w:rPr>
      </w:pPr>
    </w:p>
    <w:p>
      <w:pPr>
        <w:pStyle w:val="Body A"/>
        <w:jc w:val="center"/>
        <w:rPr>
          <w:rFonts w:ascii="Aparajita" w:cs="Aparajita" w:hAnsi="Aparajita" w:eastAsia="Aparajita"/>
          <w:i w:val="1"/>
          <w:iCs w:val="1"/>
          <w:color w:val="0d0d0d"/>
          <w:sz w:val="25"/>
          <w:szCs w:val="25"/>
          <w:u w:color="0d0d0d"/>
          <w:lang w:val="en-US"/>
        </w:rPr>
      </w:pPr>
    </w:p>
    <w:p>
      <w:pPr>
        <w:pStyle w:val="Body A A"/>
        <w:widowControl w:val="0"/>
        <w:spacing w:after="200"/>
        <w:rPr>
          <w:sz w:val="25"/>
          <w:szCs w:val="25"/>
        </w:rPr>
      </w:pPr>
      <w:r>
        <w:rPr>
          <w:sz w:val="25"/>
          <w:szCs w:val="25"/>
          <w:shd w:val="clear" w:color="auto" w:fill="fefefe"/>
          <w:rtl w:val="0"/>
          <w:lang w:val="en-US"/>
        </w:rPr>
        <w:t>Criteria for Land Preservation or Restoration in Volume 2, Appendix 2.A, Table 2.A-6, p. 2A.-13.  Revise the first section of the Table as follows:</w:t>
      </w:r>
    </w:p>
    <w:tbl>
      <w:tblPr>
        <w:tblW w:w="10044" w:type="dxa"/>
        <w:jc w:val="left"/>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deb"/>
        <w:tblLayout w:type="fixed"/>
      </w:tblPr>
      <w:tblGrid>
        <w:gridCol w:w="10044"/>
      </w:tblGrid>
      <w:tr>
        <w:tblPrEx>
          <w:shd w:val="clear" w:color="auto" w:fill="ceddeb"/>
        </w:tblPrEx>
        <w:trPr>
          <w:trHeight w:val="2192" w:hRule="atLeast"/>
        </w:trPr>
        <w:tc>
          <w:tcPr>
            <w:tcW w:type="dxa" w:w="10044"/>
            <w:tcBorders>
              <w:top w:val="nil"/>
              <w:left w:val="nil"/>
              <w:bottom w:val="nil"/>
              <w:right w:val="nil"/>
            </w:tcBorders>
            <w:shd w:val="clear" w:color="auto" w:fill="fefefe"/>
            <w:tcMar>
              <w:top w:type="dxa" w:w="80"/>
              <w:left w:type="dxa" w:w="80"/>
              <w:bottom w:type="dxa" w:w="80"/>
              <w:right w:type="dxa" w:w="80"/>
            </w:tcMar>
            <w:vAlign w:val="top"/>
          </w:tcPr>
          <w:p>
            <w:pPr>
              <w:pStyle w:val="Default"/>
              <w:spacing w:before="40" w:after="40"/>
              <w:rPr>
                <w:rFonts w:ascii="Univers LT Std 55" w:cs="Univers LT Std 55" w:hAnsi="Univers LT Std 55" w:eastAsia="Univers LT Std 55"/>
                <w:sz w:val="28"/>
                <w:szCs w:val="28"/>
                <w:shd w:val="clear" w:color="auto" w:fill="c0c0c0"/>
              </w:rPr>
            </w:pPr>
            <w:r>
              <w:rPr>
                <w:rFonts w:ascii="Univers LT Std 55" w:cs="Univers LT Std 55" w:hAnsi="Univers LT Std 55" w:eastAsia="Univers LT Std 55"/>
                <w:i w:val="1"/>
                <w:iCs w:val="1"/>
                <w:sz w:val="28"/>
                <w:szCs w:val="28"/>
                <w:shd w:val="clear" w:color="auto" w:fill="c0c0c0"/>
                <w:rtl w:val="0"/>
                <w:lang w:val="en-US"/>
              </w:rPr>
              <w:t xml:space="preserve">Table 2.A-6 Land Preservation or Restoration </w:t>
            </w:r>
          </w:p>
          <w:p>
            <w:pPr>
              <w:pStyle w:val="Body A A"/>
              <w:spacing w:before="40" w:after="40"/>
              <w:rPr>
                <w:rFonts w:ascii="Arial" w:cs="Arial" w:hAnsi="Arial" w:eastAsia="Arial"/>
                <w:sz w:val="23"/>
                <w:szCs w:val="23"/>
                <w:shd w:val="clear" w:color="auto" w:fill="c0c0c0"/>
                <w:lang w:val="en-US"/>
              </w:rPr>
            </w:pPr>
          </w:p>
          <w:p>
            <w:pPr>
              <w:pStyle w:val="Body A A"/>
              <w:spacing w:before="40" w:after="40"/>
              <w:rPr>
                <w:rFonts w:ascii="Arial" w:cs="Arial" w:hAnsi="Arial" w:eastAsia="Arial"/>
                <w:i w:val="1"/>
                <w:iCs w:val="1"/>
                <w:sz w:val="23"/>
                <w:szCs w:val="23"/>
                <w:shd w:val="clear" w:color="auto" w:fill="c0c0c0"/>
                <w:lang w:val="en-US"/>
              </w:rPr>
            </w:pPr>
          </w:p>
          <w:p>
            <w:pPr>
              <w:pStyle w:val="Body A A"/>
              <w:spacing w:before="40" w:after="40"/>
            </w:pPr>
            <w:r>
              <w:rPr>
                <w:rFonts w:ascii="Arial" w:hAnsi="Arial"/>
                <w:i w:val="1"/>
                <w:iCs w:val="1"/>
                <w:sz w:val="23"/>
                <w:szCs w:val="23"/>
                <w:shd w:val="clear" w:color="auto" w:fill="c0c0c0"/>
                <w:rtl w:val="0"/>
                <w:lang w:val="en-US"/>
              </w:rPr>
              <w:t xml:space="preserve">Projects will achieve net GHG reductions through sequestration or by protecting natural lands from GHG-intensive development (e.g., agricultural land conservation easements, wetland restoration, forest conservation easements) </w:t>
            </w:r>
            <w:r>
              <w:rPr>
                <w:rFonts w:ascii="Arial" w:hAnsi="Arial"/>
                <w:i w:val="1"/>
                <w:iCs w:val="1"/>
                <w:sz w:val="23"/>
                <w:szCs w:val="23"/>
                <w:u w:val="single"/>
                <w:shd w:val="clear" w:color="auto" w:fill="c0c0c0"/>
                <w:rtl w:val="0"/>
                <w:lang w:val="en-US"/>
              </w:rPr>
              <w:t>or by reducing forest fuels and increasing biomass utilization</w:t>
            </w:r>
            <w:r>
              <w:rPr>
                <w:rFonts w:ascii="Arial" w:hAnsi="Arial"/>
                <w:i w:val="1"/>
                <w:iCs w:val="1"/>
                <w:sz w:val="23"/>
                <w:szCs w:val="23"/>
                <w:u w:val="single"/>
                <w:rtl w:val="0"/>
                <w:lang w:val="en-US"/>
              </w:rPr>
              <w:t xml:space="preserve"> </w:t>
            </w:r>
          </w:p>
        </w:tc>
      </w:tr>
    </w:tbl>
    <w:p>
      <w:pPr>
        <w:pStyle w:val="Body A A"/>
        <w:widowControl w:val="0"/>
        <w:spacing w:after="200"/>
        <w:ind w:left="324" w:hanging="324"/>
      </w:pPr>
      <w:r>
        <w:rPr>
          <w:sz w:val="25"/>
          <w:szCs w:val="25"/>
        </w:rPr>
      </w:r>
    </w:p>
    <w:sectPr>
      <w:headerReference w:type="default" r:id="rId4"/>
      <w:footerReference w:type="default" r:id="rId5"/>
      <w:pgSz w:w="12240" w:h="15840" w:orient="portrait"/>
      <w:pgMar w:top="576" w:right="1440" w:bottom="288"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Perpetua Titling MT">
    <w:charset w:val="00"/>
    <w:family w:val="roman"/>
    <w:pitch w:val="default"/>
  </w:font>
  <w:font w:name="Calibri">
    <w:charset w:val="00"/>
    <w:family w:val="roman"/>
    <w:pitch w:val="default"/>
  </w:font>
  <w:font w:name="Aparajita">
    <w:charset w:val="00"/>
    <w:family w:val="roman"/>
    <w:pitch w:val="default"/>
  </w:font>
  <w:font w:name="Univers LT Std 55">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Big"/>
  </w:abstractNum>
  <w:abstractNum w:abstractNumId="1">
    <w:multiLevelType w:val="hybridMultilevel"/>
    <w:styleLink w:val="Bullet Big"/>
    <w:lvl w:ilvl="0">
      <w:start w:val="1"/>
      <w:numFmt w:val="bullet"/>
      <w:suff w:val="tab"/>
      <w:lvlText w:val="•"/>
      <w:lvlJc w:val="left"/>
      <w:pPr>
        <w:tabs>
          <w:tab w:val="num" w:pos="240"/>
          <w:tab w:val="left" w:pos="720"/>
        </w:tabs>
        <w:ind w:left="960" w:hanging="9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240"/>
          <w:tab w:val="num" w:pos="440"/>
          <w:tab w:val="left" w:pos="720"/>
        </w:tabs>
        <w:ind w:left="1160" w:hanging="92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240"/>
          <w:tab w:val="num" w:pos="680"/>
          <w:tab w:val="left" w:pos="720"/>
        </w:tabs>
        <w:ind w:left="1400" w:hanging="92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240"/>
          <w:tab w:val="left" w:pos="720"/>
          <w:tab w:val="num" w:pos="920"/>
        </w:tabs>
        <w:ind w:left="1640" w:hanging="92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240"/>
          <w:tab w:val="left" w:pos="720"/>
          <w:tab w:val="num" w:pos="1160"/>
        </w:tabs>
        <w:ind w:left="1880" w:hanging="92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240"/>
          <w:tab w:val="left" w:pos="720"/>
          <w:tab w:val="num" w:pos="1400"/>
        </w:tabs>
        <w:ind w:left="2120" w:hanging="92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240"/>
          <w:tab w:val="left" w:pos="720"/>
          <w:tab w:val="num" w:pos="1640"/>
        </w:tabs>
        <w:ind w:left="2360" w:hanging="92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240"/>
          <w:tab w:val="left" w:pos="720"/>
          <w:tab w:val="num" w:pos="1880"/>
        </w:tabs>
        <w:ind w:left="2600" w:hanging="92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240"/>
          <w:tab w:val="left" w:pos="720"/>
          <w:tab w:val="num" w:pos="2120"/>
        </w:tabs>
        <w:ind w:left="2840" w:hanging="92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3"/>
  </w:abstractNum>
  <w:abstractNum w:abstractNumId="3">
    <w:multiLevelType w:val="hybridMultilevel"/>
    <w:styleLink w:val="Imported Style 3"/>
    <w:lvl w:ilvl="0">
      <w:start w:val="1"/>
      <w:numFmt w:val="bullet"/>
      <w:suff w:val="tab"/>
      <w:lvlText w:val="•"/>
      <w:lvlJc w:val="left"/>
      <w:pPr>
        <w:ind w:left="947" w:hanging="37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nothing"/>
      <w:lvlText w:val="o"/>
      <w:lvlJc w:val="left"/>
      <w:pPr>
        <w:ind w:left="114" w:hanging="11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14" w:hanging="11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14" w:hanging="11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nothing"/>
      <w:lvlText w:val="o"/>
      <w:lvlJc w:val="left"/>
      <w:pPr>
        <w:ind w:left="114" w:hanging="11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14" w:hanging="11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14" w:hanging="11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nothing"/>
      <w:lvlText w:val="o"/>
      <w:lvlJc w:val="left"/>
      <w:pPr>
        <w:ind w:left="114" w:hanging="11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14" w:hanging="11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4"/>
  </w:abstractNum>
  <w:abstractNum w:abstractNumId="5">
    <w:multiLevelType w:val="hybridMultilevel"/>
    <w:styleLink w:val="Imported Style 4"/>
    <w:lvl w:ilvl="0">
      <w:start w:val="1"/>
      <w:numFmt w:val="bullet"/>
      <w:suff w:val="tab"/>
      <w:lvlText w:val="•"/>
      <w:lvlJc w:val="left"/>
      <w:pPr>
        <w:ind w:left="947" w:hanging="37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nothing"/>
      <w:lvlText w:val="o"/>
      <w:lvlJc w:val="left"/>
      <w:pPr>
        <w:ind w:left="114" w:hanging="11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14" w:hanging="11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14" w:hanging="11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nothing"/>
      <w:lvlText w:val="o"/>
      <w:lvlJc w:val="left"/>
      <w:pPr>
        <w:ind w:left="114" w:hanging="11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14" w:hanging="11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14" w:hanging="11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nothing"/>
      <w:lvlText w:val="o"/>
      <w:lvlJc w:val="left"/>
      <w:pPr>
        <w:ind w:left="114" w:hanging="11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14" w:hanging="11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5"/>
  </w:abstractNum>
  <w:abstractNum w:abstractNumId="7">
    <w:multiLevelType w:val="hybridMultilevel"/>
    <w:styleLink w:val="Imported Style 5"/>
    <w:lvl w:ilvl="0">
      <w:start w:val="1"/>
      <w:numFmt w:val="bullet"/>
      <w:suff w:val="tab"/>
      <w:lvlText w:val="•"/>
      <w:lvlJc w:val="left"/>
      <w:pPr>
        <w:ind w:left="947" w:hanging="37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nothing"/>
      <w:lvlText w:val="o"/>
      <w:lvlJc w:val="left"/>
      <w:pPr>
        <w:ind w:left="114" w:hanging="11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14" w:hanging="11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14" w:hanging="11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nothing"/>
      <w:lvlText w:val="o"/>
      <w:lvlJc w:val="left"/>
      <w:pPr>
        <w:ind w:left="114" w:hanging="11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14" w:hanging="11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14" w:hanging="11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nothing"/>
      <w:lvlText w:val="o"/>
      <w:lvlJc w:val="left"/>
      <w:pPr>
        <w:ind w:left="114" w:hanging="11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14" w:hanging="11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6"/>
  </w:abstractNum>
  <w:abstractNum w:abstractNumId="9">
    <w:multiLevelType w:val="hybridMultilevel"/>
    <w:styleLink w:val="Imported Style 6"/>
    <w:lvl w:ilvl="0">
      <w:start w:val="1"/>
      <w:numFmt w:val="bullet"/>
      <w:suff w:val="tab"/>
      <w:lvlText w:val="•"/>
      <w:lvlJc w:val="left"/>
      <w:pPr>
        <w:ind w:left="947" w:hanging="37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nothing"/>
      <w:lvlText w:val="o"/>
      <w:lvlJc w:val="left"/>
      <w:pPr>
        <w:ind w:left="114" w:hanging="11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14" w:hanging="11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14" w:hanging="11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nothing"/>
      <w:lvlText w:val="o"/>
      <w:lvlJc w:val="left"/>
      <w:pPr>
        <w:ind w:left="114" w:hanging="11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14" w:hanging="11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14" w:hanging="11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nothing"/>
      <w:lvlText w:val="o"/>
      <w:lvlJc w:val="left"/>
      <w:pPr>
        <w:ind w:left="114" w:hanging="11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14" w:hanging="11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tabs>
            <w:tab w:val="num" w:pos="240"/>
            <w:tab w:val="left" w:pos="720"/>
          </w:tabs>
          <w:ind w:left="960" w:hanging="9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tabs>
            <w:tab w:val="left" w:pos="240"/>
            <w:tab w:val="num" w:pos="480"/>
            <w:tab w:val="left" w:pos="720"/>
          </w:tabs>
          <w:ind w:left="1200" w:hanging="9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240"/>
            <w:tab w:val="num" w:pos="720"/>
          </w:tabs>
          <w:ind w:left="1440" w:hanging="9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240"/>
            <w:tab w:val="left" w:pos="720"/>
            <w:tab w:val="num" w:pos="960"/>
          </w:tabs>
          <w:ind w:left="1680" w:hanging="9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tabs>
            <w:tab w:val="left" w:pos="240"/>
            <w:tab w:val="left" w:pos="720"/>
            <w:tab w:val="num" w:pos="1200"/>
          </w:tabs>
          <w:ind w:left="1920" w:hanging="9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240"/>
            <w:tab w:val="left" w:pos="720"/>
            <w:tab w:val="num" w:pos="1440"/>
          </w:tabs>
          <w:ind w:left="2160" w:hanging="9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240"/>
            <w:tab w:val="left" w:pos="720"/>
            <w:tab w:val="num" w:pos="1680"/>
          </w:tabs>
          <w:ind w:left="2400" w:hanging="9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tabs>
            <w:tab w:val="left" w:pos="240"/>
            <w:tab w:val="left" w:pos="720"/>
            <w:tab w:val="num" w:pos="1920"/>
          </w:tabs>
          <w:ind w:left="2640" w:hanging="9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240"/>
            <w:tab w:val="left" w:pos="720"/>
            <w:tab w:val="num" w:pos="2160"/>
          </w:tabs>
          <w:ind w:left="2880" w:hanging="9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0"/>
    <w:lvlOverride w:ilvl="0">
      <w:lvl w:ilvl="0">
        <w:start w:val="1"/>
        <w:numFmt w:val="bullet"/>
        <w:suff w:val="tab"/>
        <w:lvlText w:val="•"/>
        <w:lvlJc w:val="left"/>
        <w:pPr>
          <w:ind w:left="273" w:hanging="27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513" w:hanging="27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753" w:hanging="27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993" w:hanging="27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1233" w:hanging="27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1473" w:hanging="27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1713" w:hanging="27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1953" w:hanging="27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2193" w:hanging="27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
    <w:abstractNumId w:val="0"/>
    <w:lvlOverride w:ilvl="0">
      <w:lvl w:ilvl="0">
        <w:start w:val="1"/>
        <w:numFmt w:val="bullet"/>
        <w:suff w:val="tab"/>
        <w:lvlText w:val="•"/>
        <w:lvlJc w:val="left"/>
        <w:pPr>
          <w:ind w:left="273" w:hanging="273"/>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513" w:hanging="273"/>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753" w:hanging="273"/>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993" w:hanging="273"/>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1233" w:hanging="273"/>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1473" w:hanging="273"/>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1713" w:hanging="273"/>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1953" w:hanging="273"/>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2193" w:hanging="273"/>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Override>
  </w:num>
  <w:num w:numId="6">
    <w:abstractNumId w:val="0"/>
    <w:lvlOverride w:ilvl="0">
      <w:lvl w:ilvl="0">
        <w:start w:val="1"/>
        <w:numFmt w:val="bullet"/>
        <w:suff w:val="tab"/>
        <w:lvlText w:val="•"/>
        <w:lvlJc w:val="left"/>
        <w:pPr>
          <w:ind w:left="947" w:hanging="37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nothing"/>
        <w:lvlText w:val="o"/>
        <w:lvlJc w:val="left"/>
        <w:pPr>
          <w:ind w:left="116" w:hanging="116"/>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nothing"/>
        <w:lvlText w:val="▪"/>
        <w:lvlJc w:val="left"/>
        <w:pPr>
          <w:ind w:left="114" w:hanging="11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720" w:hanging="72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nothing"/>
        <w:lvlText w:val="o"/>
        <w:lvlJc w:val="left"/>
        <w:pPr>
          <w:ind w:left="116" w:hanging="116"/>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nothing"/>
        <w:lvlText w:val="▪"/>
        <w:lvlJc w:val="left"/>
        <w:pPr>
          <w:ind w:left="114" w:hanging="11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720" w:hanging="72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nothing"/>
        <w:lvlText w:val="o"/>
        <w:lvlJc w:val="left"/>
        <w:pPr>
          <w:ind w:left="116" w:hanging="116"/>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nothing"/>
        <w:lvlText w:val="▪"/>
        <w:lvlJc w:val="left"/>
        <w:pPr>
          <w:ind w:left="114" w:hanging="11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
    <w:abstractNumId w:val="0"/>
    <w:lvlOverride w:ilvl="0">
      <w:lvl w:ilvl="0">
        <w:start w:val="1"/>
        <w:numFmt w:val="bullet"/>
        <w:suff w:val="tab"/>
        <w:lvlText w:val="•"/>
        <w:lvlJc w:val="left"/>
        <w:pPr>
          <w:ind w:left="947" w:hanging="37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nothing"/>
        <w:lvlText w:val="o"/>
        <w:lvlJc w:val="left"/>
        <w:pPr>
          <w:ind w:left="116" w:hanging="116"/>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nothing"/>
        <w:lvlText w:val="▪"/>
        <w:lvlJc w:val="left"/>
        <w:pPr>
          <w:ind w:left="114" w:hanging="11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720" w:hanging="72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nothing"/>
        <w:lvlText w:val="o"/>
        <w:lvlJc w:val="left"/>
        <w:pPr>
          <w:ind w:left="116" w:hanging="116"/>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nothing"/>
        <w:lvlText w:val="▪"/>
        <w:lvlJc w:val="left"/>
        <w:pPr>
          <w:ind w:left="114" w:hanging="11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720" w:hanging="72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nothing"/>
        <w:lvlText w:val="o"/>
        <w:lvlJc w:val="left"/>
        <w:pPr>
          <w:ind w:left="116" w:hanging="116"/>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nothing"/>
        <w:lvlText w:val="▪"/>
        <w:lvlJc w:val="left"/>
        <w:pPr>
          <w:ind w:left="114" w:hanging="11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
    <w:abstractNumId w:val="3"/>
  </w:num>
  <w:num w:numId="9">
    <w:abstractNumId w:val="2"/>
  </w:num>
  <w:num w:numId="10">
    <w:abstractNumId w:val="5"/>
  </w:num>
  <w:num w:numId="11">
    <w:abstractNumId w:val="4"/>
  </w:num>
  <w:num w:numId="12">
    <w:abstractNumId w:val="7"/>
  </w:num>
  <w:num w:numId="13">
    <w:abstractNumId w:val="6"/>
  </w:num>
  <w:num w:numId="14">
    <w:abstractNumId w:val="9"/>
  </w:num>
  <w:num w:numId="15">
    <w:abstractNumId w:val="8"/>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28"/>
      <w:position w:val="0"/>
      <w:sz w:val="20"/>
      <w:szCs w:val="20"/>
      <w:u w:val="none" w:color="000000"/>
      <w:vertAlign w:val="baseline"/>
    </w:rPr>
  </w:style>
  <w:style w:type="paragraph" w:styleId="Address 2">
    <w:name w:val="Address 2"/>
    <w:next w:val="Body A"/>
    <w:pPr>
      <w:keepNext w:val="0"/>
      <w:keepLines w:val="0"/>
      <w:pageBreakBefore w:val="0"/>
      <w:widowControl w:val="1"/>
      <w:shd w:val="clear" w:color="auto" w:fill="auto"/>
      <w:suppressAutoHyphens w:val="0"/>
      <w:bidi w:val="0"/>
      <w:spacing w:before="0" w:after="120" w:line="240" w:lineRule="auto"/>
      <w:ind w:left="0" w:right="0" w:firstLine="0"/>
      <w:jc w:val="center"/>
      <w:outlineLvl w:val="9"/>
    </w:pPr>
    <w:rPr>
      <w:rFonts w:ascii="Arial" w:cs="Arial Unicode MS" w:hAnsi="Arial" w:eastAsia="Arial Unicode MS"/>
      <w:b w:val="1"/>
      <w:bCs w:val="1"/>
      <w:i w:val="0"/>
      <w:iCs w:val="0"/>
      <w:caps w:val="0"/>
      <w:smallCaps w:val="0"/>
      <w:strike w:val="0"/>
      <w:dstrike w:val="0"/>
      <w:outline w:val="0"/>
      <w:color w:val="000000"/>
      <w:spacing w:val="20"/>
      <w:kern w:val="28"/>
      <w:position w:val="0"/>
      <w:sz w:val="20"/>
      <w:szCs w:val="20"/>
      <w:u w:val="none" w:color="000000"/>
      <w:vertAlign w:val="baseline"/>
      <w:lang w:val="en-US"/>
    </w:rPr>
  </w:style>
  <w:style w:type="paragraph" w:styleId="Body A A">
    <w:name w:val="Body A A"/>
    <w:next w:val="Body A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Bullet Big">
    <w:name w:val="Bullet Big"/>
    <w:pPr>
      <w:numPr>
        <w:numId w:val="1"/>
      </w:numPr>
    </w:pPr>
  </w:style>
  <w:style w:type="paragraph" w:styleId="heading 5">
    <w:name w:val="heading 5"/>
    <w:next w:val="Body A"/>
    <w:pPr>
      <w:keepNext w:val="0"/>
      <w:keepLines w:val="0"/>
      <w:pageBreakBefore w:val="0"/>
      <w:widowControl w:val="1"/>
      <w:shd w:val="clear" w:color="auto" w:fill="auto"/>
      <w:suppressAutoHyphens w:val="0"/>
      <w:bidi w:val="0"/>
      <w:spacing w:before="240" w:after="60" w:line="240" w:lineRule="auto"/>
      <w:ind w:left="0" w:right="0" w:firstLine="0"/>
      <w:jc w:val="left"/>
      <w:outlineLvl w:val="4"/>
    </w:pPr>
    <w:rPr>
      <w:rFonts w:ascii="Calibri" w:cs="Calibri" w:hAnsi="Calibri" w:eastAsia="Calibri"/>
      <w:b w:val="1"/>
      <w:bCs w:val="1"/>
      <w:i w:val="1"/>
      <w:iCs w:val="1"/>
      <w:caps w:val="0"/>
      <w:smallCaps w:val="0"/>
      <w:strike w:val="0"/>
      <w:dstrike w:val="0"/>
      <w:outline w:val="0"/>
      <w:color w:val="000000"/>
      <w:spacing w:val="0"/>
      <w:kern w:val="28"/>
      <w:position w:val="0"/>
      <w:sz w:val="26"/>
      <w:szCs w:val="26"/>
      <w:u w:val="none" w:color="000000"/>
      <w:vertAlign w:val="baseline"/>
      <w:lang w:val="en-US"/>
    </w:rPr>
  </w:style>
  <w:style w:type="numbering" w:styleId="Imported Style 3">
    <w:name w:val="Imported Style 3"/>
    <w:pPr>
      <w:numPr>
        <w:numId w:val="8"/>
      </w:numPr>
    </w:pPr>
  </w:style>
  <w:style w:type="numbering" w:styleId="Imported Style 4">
    <w:name w:val="Imported Style 4"/>
    <w:pPr>
      <w:numPr>
        <w:numId w:val="10"/>
      </w:numPr>
    </w:pPr>
  </w:style>
  <w:style w:type="numbering" w:styleId="Imported Style 5">
    <w:name w:val="Imported Style 5"/>
    <w:pPr>
      <w:numPr>
        <w:numId w:val="12"/>
      </w:numPr>
    </w:pPr>
  </w:style>
  <w:style w:type="numbering" w:styleId="Imported Style 6">
    <w:name w:val="Imported Style 6"/>
    <w:pPr>
      <w:numPr>
        <w:numId w:val="14"/>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