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7D5" w:rsidRDefault="005F57D5" w:rsidP="005F57D5">
      <w:pPr>
        <w:rPr>
          <w:rFonts w:ascii="Arial" w:hAnsi="Arial" w:cs="Arial"/>
          <w:sz w:val="24"/>
          <w:szCs w:val="24"/>
        </w:rPr>
      </w:pPr>
    </w:p>
    <w:p w:rsidR="005F57D5" w:rsidRDefault="005F57D5" w:rsidP="005F57D5">
      <w:pPr>
        <w:rPr>
          <w:rFonts w:ascii="Arial" w:hAnsi="Arial" w:cs="Arial"/>
          <w:sz w:val="24"/>
          <w:szCs w:val="24"/>
        </w:rPr>
      </w:pPr>
      <w:r>
        <w:rPr>
          <w:rFonts w:ascii="Arial" w:hAnsi="Arial" w:cs="Arial"/>
          <w:sz w:val="24"/>
          <w:szCs w:val="24"/>
        </w:rPr>
        <w:t>April 21, 2020</w:t>
      </w:r>
    </w:p>
    <w:p w:rsidR="005F57D5" w:rsidRDefault="005F57D5" w:rsidP="005F57D5">
      <w:pPr>
        <w:rPr>
          <w:rFonts w:ascii="Arial" w:hAnsi="Arial" w:cs="Arial"/>
          <w:sz w:val="24"/>
          <w:szCs w:val="24"/>
        </w:rPr>
      </w:pPr>
    </w:p>
    <w:p w:rsidR="005F57D5" w:rsidRDefault="005F57D5" w:rsidP="005F57D5">
      <w:pPr>
        <w:rPr>
          <w:rFonts w:ascii="Arial" w:hAnsi="Arial" w:cs="Arial"/>
          <w:sz w:val="24"/>
          <w:szCs w:val="24"/>
        </w:rPr>
      </w:pPr>
    </w:p>
    <w:p w:rsidR="005F57D5" w:rsidRPr="005F57D5" w:rsidRDefault="005F57D5" w:rsidP="005F57D5">
      <w:pPr>
        <w:rPr>
          <w:rFonts w:ascii="Arial" w:hAnsi="Arial" w:cs="Arial"/>
          <w:sz w:val="24"/>
          <w:szCs w:val="24"/>
        </w:rPr>
      </w:pPr>
      <w:r w:rsidRPr="005F57D5">
        <w:rPr>
          <w:rFonts w:ascii="Arial" w:hAnsi="Arial" w:cs="Arial"/>
          <w:sz w:val="24"/>
          <w:szCs w:val="24"/>
        </w:rPr>
        <w:t>California Air Resources Board</w:t>
      </w:r>
    </w:p>
    <w:p w:rsidR="005F57D5" w:rsidRPr="005F57D5" w:rsidRDefault="005F57D5" w:rsidP="005F57D5">
      <w:pPr>
        <w:rPr>
          <w:rFonts w:ascii="Arial" w:hAnsi="Arial" w:cs="Arial"/>
          <w:sz w:val="24"/>
          <w:szCs w:val="24"/>
        </w:rPr>
      </w:pPr>
      <w:r w:rsidRPr="005F57D5">
        <w:rPr>
          <w:rFonts w:ascii="Arial" w:hAnsi="Arial" w:cs="Arial"/>
          <w:sz w:val="24"/>
          <w:szCs w:val="24"/>
        </w:rPr>
        <w:t>1001 I Street</w:t>
      </w:r>
    </w:p>
    <w:p w:rsidR="005F57D5" w:rsidRPr="005F57D5" w:rsidRDefault="005F57D5" w:rsidP="005F57D5">
      <w:pPr>
        <w:rPr>
          <w:rFonts w:ascii="Arial" w:hAnsi="Arial" w:cs="Arial"/>
          <w:sz w:val="24"/>
          <w:szCs w:val="24"/>
        </w:rPr>
      </w:pPr>
      <w:r w:rsidRPr="005F57D5">
        <w:rPr>
          <w:rFonts w:ascii="Arial" w:hAnsi="Arial" w:cs="Arial"/>
          <w:sz w:val="24"/>
          <w:szCs w:val="24"/>
        </w:rPr>
        <w:t>PO Box 2815</w:t>
      </w:r>
    </w:p>
    <w:p w:rsidR="005F57D5" w:rsidRPr="005F57D5" w:rsidRDefault="005F57D5" w:rsidP="005F57D5">
      <w:pPr>
        <w:rPr>
          <w:rFonts w:ascii="Arial" w:hAnsi="Arial" w:cs="Arial"/>
          <w:sz w:val="24"/>
          <w:szCs w:val="24"/>
        </w:rPr>
      </w:pPr>
      <w:r w:rsidRPr="005F57D5">
        <w:rPr>
          <w:rFonts w:ascii="Arial" w:hAnsi="Arial" w:cs="Arial"/>
          <w:sz w:val="24"/>
          <w:szCs w:val="24"/>
        </w:rPr>
        <w:t>Sacramento, CA 95812</w:t>
      </w:r>
    </w:p>
    <w:p w:rsidR="005F57D5" w:rsidRDefault="005F57D5" w:rsidP="005F57D5">
      <w:pPr>
        <w:rPr>
          <w:rFonts w:ascii="Arial" w:hAnsi="Arial" w:cs="Arial"/>
          <w:b/>
          <w:color w:val="000000"/>
          <w:sz w:val="24"/>
          <w:szCs w:val="24"/>
          <w:shd w:val="clear" w:color="auto" w:fill="FFFFFF"/>
        </w:rPr>
      </w:pPr>
    </w:p>
    <w:p w:rsidR="005F57D5" w:rsidRDefault="005F57D5" w:rsidP="005F57D5">
      <w:pPr>
        <w:rPr>
          <w:rFonts w:ascii="Arial" w:hAnsi="Arial" w:cs="Arial"/>
          <w:b/>
          <w:color w:val="000000"/>
          <w:sz w:val="24"/>
          <w:szCs w:val="24"/>
          <w:shd w:val="clear" w:color="auto" w:fill="FFFFFF"/>
        </w:rPr>
      </w:pPr>
    </w:p>
    <w:p w:rsidR="005F57D5" w:rsidRDefault="005F57D5" w:rsidP="005F57D5">
      <w:pPr>
        <w:rPr>
          <w:rFonts w:ascii="Arial" w:hAnsi="Arial" w:cs="Arial"/>
          <w:b/>
          <w:color w:val="000000"/>
          <w:sz w:val="24"/>
          <w:szCs w:val="24"/>
          <w:shd w:val="clear" w:color="auto" w:fill="FFFFFF"/>
        </w:rPr>
      </w:pPr>
    </w:p>
    <w:p w:rsidR="005F57D5" w:rsidRDefault="005F57D5" w:rsidP="005F57D5">
      <w:pPr>
        <w:rPr>
          <w:rFonts w:ascii="Arial" w:hAnsi="Arial" w:cs="Arial"/>
          <w:b/>
          <w:color w:val="000000"/>
          <w:sz w:val="24"/>
          <w:szCs w:val="24"/>
          <w:shd w:val="clear" w:color="auto" w:fill="FFFFFF"/>
        </w:rPr>
      </w:pPr>
    </w:p>
    <w:p w:rsidR="005F57D5" w:rsidRPr="00E91709" w:rsidRDefault="005F57D5" w:rsidP="005F57D5">
      <w:pPr>
        <w:rPr>
          <w:rFonts w:ascii="Arial" w:hAnsi="Arial" w:cs="Arial"/>
          <w:b/>
          <w:color w:val="000000"/>
          <w:sz w:val="24"/>
          <w:szCs w:val="24"/>
          <w:shd w:val="clear" w:color="auto" w:fill="FFFFFF"/>
        </w:rPr>
      </w:pPr>
      <w:r w:rsidRPr="00E91709">
        <w:rPr>
          <w:rFonts w:ascii="Arial" w:hAnsi="Arial" w:cs="Arial"/>
          <w:b/>
          <w:color w:val="000000"/>
          <w:sz w:val="24"/>
          <w:szCs w:val="24"/>
          <w:shd w:val="clear" w:color="auto" w:fill="FFFFFF"/>
        </w:rPr>
        <w:t>Subject: Transport Refrigeration Unit Regulation Discussion Draft</w:t>
      </w:r>
    </w:p>
    <w:p w:rsidR="005F57D5" w:rsidRPr="00E91709" w:rsidRDefault="005F57D5" w:rsidP="005F57D5">
      <w:pPr>
        <w:rPr>
          <w:rFonts w:ascii="Arial" w:hAnsi="Arial" w:cs="Arial"/>
          <w:color w:val="000000"/>
          <w:sz w:val="24"/>
          <w:szCs w:val="24"/>
          <w:shd w:val="clear" w:color="auto" w:fill="FFFFFF"/>
        </w:rPr>
      </w:pPr>
    </w:p>
    <w:p w:rsidR="005F57D5" w:rsidRPr="00E91709" w:rsidRDefault="005F57D5" w:rsidP="005F57D5">
      <w:pPr>
        <w:rPr>
          <w:rFonts w:ascii="Arial" w:hAnsi="Arial" w:cs="Arial"/>
          <w:color w:val="000000"/>
          <w:sz w:val="24"/>
          <w:szCs w:val="24"/>
          <w:bdr w:val="none" w:sz="0" w:space="0" w:color="auto" w:frame="1"/>
          <w:shd w:val="clear" w:color="auto" w:fill="FFFFFF"/>
        </w:rPr>
      </w:pPr>
      <w:r w:rsidRPr="00E91709">
        <w:rPr>
          <w:rFonts w:ascii="Arial" w:hAnsi="Arial" w:cs="Arial"/>
          <w:color w:val="000000"/>
          <w:sz w:val="24"/>
          <w:szCs w:val="24"/>
          <w:shd w:val="clear" w:color="auto" w:fill="FFFFFF"/>
        </w:rPr>
        <w:t>Foster Poultry Farms (Foster) appreciates the opportunity to comment on the proposed Transport Refrigeration Unit (TRU) regulation</w:t>
      </w:r>
      <w:r w:rsidRPr="00E91709">
        <w:rPr>
          <w:rFonts w:ascii="Arial" w:hAnsi="Arial" w:cs="Arial"/>
          <w:color w:val="000000"/>
          <w:sz w:val="24"/>
          <w:szCs w:val="24"/>
        </w:rPr>
        <w:br/>
      </w:r>
    </w:p>
    <w:p w:rsidR="005F57D5" w:rsidRPr="00E91709" w:rsidRDefault="005F57D5" w:rsidP="005F57D5">
      <w:pPr>
        <w:rPr>
          <w:rFonts w:ascii="Arial" w:hAnsi="Arial" w:cs="Arial"/>
          <w:color w:val="000000"/>
          <w:sz w:val="24"/>
          <w:szCs w:val="24"/>
          <w:bdr w:val="none" w:sz="0" w:space="0" w:color="auto" w:frame="1"/>
          <w:shd w:val="clear" w:color="auto" w:fill="FFFFFF"/>
        </w:rPr>
      </w:pPr>
      <w:r w:rsidRPr="00E91709">
        <w:rPr>
          <w:rFonts w:ascii="Arial" w:hAnsi="Arial" w:cs="Arial"/>
          <w:color w:val="000000"/>
          <w:sz w:val="24"/>
          <w:szCs w:val="24"/>
          <w:bdr w:val="none" w:sz="0" w:space="0" w:color="auto" w:frame="1"/>
          <w:shd w:val="clear" w:color="auto" w:fill="FFFFFF"/>
        </w:rPr>
        <w:t>Founded in California</w:t>
      </w:r>
      <w:r>
        <w:rPr>
          <w:rFonts w:ascii="Arial" w:hAnsi="Arial" w:cs="Arial"/>
          <w:color w:val="000000"/>
          <w:sz w:val="24"/>
          <w:szCs w:val="24"/>
          <w:bdr w:val="none" w:sz="0" w:space="0" w:color="auto" w:frame="1"/>
          <w:shd w:val="clear" w:color="auto" w:fill="FFFFFF"/>
        </w:rPr>
        <w:t xml:space="preserve"> in 1939</w:t>
      </w:r>
      <w:r w:rsidRPr="00E91709">
        <w:rPr>
          <w:rFonts w:ascii="Arial" w:hAnsi="Arial" w:cs="Arial"/>
          <w:color w:val="000000"/>
          <w:sz w:val="24"/>
          <w:szCs w:val="24"/>
          <w:bdr w:val="none" w:sz="0" w:space="0" w:color="auto" w:frame="1"/>
          <w:shd w:val="clear" w:color="auto" w:fill="FFFFFF"/>
        </w:rPr>
        <w:t>, Foster</w:t>
      </w:r>
      <w:r w:rsidR="003259CF">
        <w:rPr>
          <w:rFonts w:ascii="Arial" w:hAnsi="Arial" w:cs="Arial"/>
          <w:color w:val="000000"/>
          <w:sz w:val="24"/>
          <w:szCs w:val="24"/>
          <w:bdr w:val="none" w:sz="0" w:space="0" w:color="auto" w:frame="1"/>
          <w:shd w:val="clear" w:color="auto" w:fill="FFFFFF"/>
        </w:rPr>
        <w:t xml:space="preserve"> Farms</w:t>
      </w:r>
      <w:r w:rsidRPr="00E91709">
        <w:rPr>
          <w:rFonts w:ascii="Arial" w:hAnsi="Arial" w:cs="Arial"/>
          <w:color w:val="000000"/>
          <w:sz w:val="24"/>
          <w:szCs w:val="24"/>
          <w:bdr w:val="none" w:sz="0" w:space="0" w:color="auto" w:frame="1"/>
          <w:shd w:val="clear" w:color="auto" w:fill="FFFFFF"/>
        </w:rPr>
        <w:t xml:space="preserve"> </w:t>
      </w:r>
      <w:r>
        <w:rPr>
          <w:rFonts w:ascii="Arial" w:hAnsi="Arial" w:cs="Arial"/>
          <w:color w:val="000000"/>
          <w:sz w:val="24"/>
          <w:szCs w:val="24"/>
          <w:bdr w:val="none" w:sz="0" w:space="0" w:color="auto" w:frame="1"/>
          <w:shd w:val="clear" w:color="auto" w:fill="FFFFFF"/>
        </w:rPr>
        <w:t xml:space="preserve">is a </w:t>
      </w:r>
      <w:r w:rsidRPr="00E91709">
        <w:rPr>
          <w:rFonts w:ascii="Arial" w:hAnsi="Arial" w:cs="Arial"/>
          <w:color w:val="000000"/>
          <w:sz w:val="24"/>
          <w:szCs w:val="24"/>
          <w:bdr w:val="none" w:sz="0" w:space="0" w:color="auto" w:frame="1"/>
          <w:shd w:val="clear" w:color="auto" w:fill="FFFFFF"/>
        </w:rPr>
        <w:t xml:space="preserve">family owned </w:t>
      </w:r>
      <w:r>
        <w:rPr>
          <w:rFonts w:ascii="Arial" w:hAnsi="Arial" w:cs="Arial"/>
          <w:color w:val="000000"/>
          <w:sz w:val="24"/>
          <w:szCs w:val="24"/>
          <w:bdr w:val="none" w:sz="0" w:space="0" w:color="auto" w:frame="1"/>
          <w:shd w:val="clear" w:color="auto" w:fill="FFFFFF"/>
        </w:rPr>
        <w:t xml:space="preserve">food </w:t>
      </w:r>
      <w:r w:rsidRPr="00E91709">
        <w:rPr>
          <w:rFonts w:ascii="Arial" w:hAnsi="Arial" w:cs="Arial"/>
          <w:color w:val="000000"/>
          <w:sz w:val="24"/>
          <w:szCs w:val="24"/>
          <w:bdr w:val="none" w:sz="0" w:space="0" w:color="auto" w:frame="1"/>
          <w:shd w:val="clear" w:color="auto" w:fill="FFFFFF"/>
        </w:rPr>
        <w:t>company</w:t>
      </w:r>
      <w:r>
        <w:rPr>
          <w:rFonts w:ascii="Arial" w:hAnsi="Arial" w:cs="Arial"/>
          <w:color w:val="000000"/>
          <w:sz w:val="24"/>
          <w:szCs w:val="24"/>
          <w:bdr w:val="none" w:sz="0" w:space="0" w:color="auto" w:frame="1"/>
          <w:shd w:val="clear" w:color="auto" w:fill="FFFFFF"/>
        </w:rPr>
        <w:t xml:space="preserve"> headquartered in California. Over 90% of our 12,000 employees </w:t>
      </w:r>
      <w:r w:rsidRPr="00E91709">
        <w:rPr>
          <w:rFonts w:ascii="Arial" w:hAnsi="Arial" w:cs="Arial"/>
          <w:color w:val="000000"/>
          <w:sz w:val="24"/>
          <w:szCs w:val="24"/>
          <w:bdr w:val="none" w:sz="0" w:space="0" w:color="auto" w:frame="1"/>
          <w:shd w:val="clear" w:color="auto" w:fill="FFFFFF"/>
        </w:rPr>
        <w:t>live in California. As Californians</w:t>
      </w:r>
      <w:r>
        <w:rPr>
          <w:rFonts w:ascii="Arial" w:hAnsi="Arial" w:cs="Arial"/>
          <w:color w:val="000000"/>
          <w:sz w:val="24"/>
          <w:szCs w:val="24"/>
          <w:bdr w:val="none" w:sz="0" w:space="0" w:color="auto" w:frame="1"/>
          <w:shd w:val="clear" w:color="auto" w:fill="FFFFFF"/>
        </w:rPr>
        <w:t xml:space="preserve"> of long-standing</w:t>
      </w:r>
      <w:r w:rsidRPr="00E91709">
        <w:rPr>
          <w:rFonts w:ascii="Arial" w:hAnsi="Arial" w:cs="Arial"/>
          <w:color w:val="000000"/>
          <w:sz w:val="24"/>
          <w:szCs w:val="24"/>
          <w:bdr w:val="none" w:sz="0" w:space="0" w:color="auto" w:frame="1"/>
          <w:shd w:val="clear" w:color="auto" w:fill="FFFFFF"/>
        </w:rPr>
        <w:t xml:space="preserve">, we </w:t>
      </w:r>
      <w:r>
        <w:rPr>
          <w:rFonts w:ascii="Arial" w:hAnsi="Arial" w:cs="Arial"/>
          <w:color w:val="000000"/>
          <w:sz w:val="24"/>
          <w:szCs w:val="24"/>
          <w:bdr w:val="none" w:sz="0" w:space="0" w:color="auto" w:frame="1"/>
          <w:shd w:val="clear" w:color="auto" w:fill="FFFFFF"/>
        </w:rPr>
        <w:t xml:space="preserve">are committed to </w:t>
      </w:r>
      <w:r w:rsidRPr="00E91709">
        <w:rPr>
          <w:rFonts w:ascii="Arial" w:hAnsi="Arial" w:cs="Arial"/>
          <w:color w:val="000000"/>
          <w:sz w:val="24"/>
          <w:szCs w:val="24"/>
          <w:bdr w:val="none" w:sz="0" w:space="0" w:color="auto" w:frame="1"/>
          <w:shd w:val="clear" w:color="auto" w:fill="FFFFFF"/>
        </w:rPr>
        <w:t>improved air quality and support California Air Resources Board (CARB) mission:</w:t>
      </w:r>
    </w:p>
    <w:p w:rsidR="005F57D5" w:rsidRPr="00E91709" w:rsidRDefault="005F57D5" w:rsidP="005F57D5">
      <w:pPr>
        <w:ind w:left="720" w:firstLine="60"/>
        <w:rPr>
          <w:rFonts w:ascii="Arial" w:hAnsi="Arial" w:cs="Arial"/>
          <w:i/>
          <w:color w:val="000000"/>
          <w:sz w:val="24"/>
          <w:szCs w:val="24"/>
          <w:shd w:val="clear" w:color="auto" w:fill="FFFFFF"/>
        </w:rPr>
      </w:pPr>
      <w:r w:rsidRPr="00E91709">
        <w:rPr>
          <w:rFonts w:ascii="Arial" w:hAnsi="Arial" w:cs="Arial"/>
          <w:color w:val="000000"/>
          <w:sz w:val="24"/>
          <w:szCs w:val="24"/>
          <w:u w:val="single"/>
          <w:bdr w:val="none" w:sz="0" w:space="0" w:color="auto" w:frame="1"/>
          <w:shd w:val="clear" w:color="auto" w:fill="FFFFFF"/>
        </w:rPr>
        <w:t>“</w:t>
      </w:r>
      <w:r w:rsidRPr="00E91709">
        <w:rPr>
          <w:rFonts w:ascii="Arial" w:hAnsi="Arial" w:cs="Arial"/>
          <w:i/>
          <w:color w:val="000000"/>
          <w:sz w:val="24"/>
          <w:szCs w:val="24"/>
          <w:u w:val="single"/>
          <w:shd w:val="clear" w:color="auto" w:fill="FFFFFF"/>
        </w:rPr>
        <w:t>To promote and protect public health, welfare and ecological resources through the effective and efficient reduction of air pollutants while recognizing and considering the effects on the economy of the state</w:t>
      </w:r>
      <w:r w:rsidRPr="00E91709">
        <w:rPr>
          <w:rFonts w:ascii="Arial" w:hAnsi="Arial" w:cs="Arial"/>
          <w:i/>
          <w:color w:val="000000"/>
          <w:sz w:val="24"/>
          <w:szCs w:val="24"/>
          <w:shd w:val="clear" w:color="auto" w:fill="FFFFFF"/>
        </w:rPr>
        <w:t>”.</w:t>
      </w:r>
    </w:p>
    <w:p w:rsidR="005F57D5" w:rsidRDefault="005F57D5" w:rsidP="005F57D5">
      <w:pPr>
        <w:rPr>
          <w:rFonts w:ascii="Arial" w:hAnsi="Arial" w:cs="Arial"/>
          <w:color w:val="000000"/>
          <w:sz w:val="24"/>
          <w:szCs w:val="24"/>
          <w:bdr w:val="none" w:sz="0" w:space="0" w:color="auto" w:frame="1"/>
          <w:shd w:val="clear" w:color="auto" w:fill="FFFFFF"/>
        </w:rPr>
      </w:pPr>
      <w:r w:rsidRPr="00E91709">
        <w:rPr>
          <w:rFonts w:ascii="Arial" w:hAnsi="Arial" w:cs="Arial"/>
          <w:color w:val="000000"/>
          <w:sz w:val="24"/>
          <w:szCs w:val="24"/>
          <w:bdr w:val="none" w:sz="0" w:space="0" w:color="auto" w:frame="1"/>
          <w:shd w:val="clear" w:color="auto" w:fill="FFFFFF"/>
        </w:rPr>
        <w:t>Foster</w:t>
      </w:r>
      <w:r>
        <w:rPr>
          <w:rFonts w:ascii="Arial" w:hAnsi="Arial" w:cs="Arial"/>
          <w:color w:val="000000"/>
          <w:sz w:val="24"/>
          <w:szCs w:val="24"/>
          <w:bdr w:val="none" w:sz="0" w:space="0" w:color="auto" w:frame="1"/>
          <w:shd w:val="clear" w:color="auto" w:fill="FFFFFF"/>
        </w:rPr>
        <w:t xml:space="preserve"> Farms</w:t>
      </w:r>
      <w:r w:rsidRPr="00E91709">
        <w:rPr>
          <w:rFonts w:ascii="Arial" w:hAnsi="Arial" w:cs="Arial"/>
          <w:color w:val="000000"/>
          <w:sz w:val="24"/>
          <w:szCs w:val="24"/>
          <w:bdr w:val="none" w:sz="0" w:space="0" w:color="auto" w:frame="1"/>
          <w:shd w:val="clear" w:color="auto" w:fill="FFFFFF"/>
        </w:rPr>
        <w:t xml:space="preserve"> respectfully requests CARB follow its mission statement by recognizing and considering the effects on the economy of the </w:t>
      </w:r>
      <w:r>
        <w:rPr>
          <w:rFonts w:ascii="Arial" w:hAnsi="Arial" w:cs="Arial"/>
          <w:color w:val="000000"/>
          <w:sz w:val="24"/>
          <w:szCs w:val="24"/>
          <w:bdr w:val="none" w:sz="0" w:space="0" w:color="auto" w:frame="1"/>
          <w:shd w:val="clear" w:color="auto" w:fill="FFFFFF"/>
        </w:rPr>
        <w:t>S</w:t>
      </w:r>
      <w:r w:rsidRPr="00E91709">
        <w:rPr>
          <w:rFonts w:ascii="Arial" w:hAnsi="Arial" w:cs="Arial"/>
          <w:color w:val="000000"/>
          <w:sz w:val="24"/>
          <w:szCs w:val="24"/>
          <w:bdr w:val="none" w:sz="0" w:space="0" w:color="auto" w:frame="1"/>
          <w:shd w:val="clear" w:color="auto" w:fill="FFFFFF"/>
        </w:rPr>
        <w:t>tate</w:t>
      </w:r>
      <w:r>
        <w:rPr>
          <w:rFonts w:ascii="Arial" w:hAnsi="Arial" w:cs="Arial"/>
          <w:color w:val="000000"/>
          <w:sz w:val="24"/>
          <w:szCs w:val="24"/>
          <w:bdr w:val="none" w:sz="0" w:space="0" w:color="auto" w:frame="1"/>
          <w:shd w:val="clear" w:color="auto" w:fill="FFFFFF"/>
        </w:rPr>
        <w:t xml:space="preserve">, the rising costs incurred by companies operating in California, and the severe challenges facing all California businesses due to the slow economic recovery we can expect from the impact of the worldwide COVID19 pandemic. </w:t>
      </w:r>
    </w:p>
    <w:p w:rsidR="005F57D5" w:rsidRPr="00E91709" w:rsidRDefault="005F57D5" w:rsidP="005F57D5">
      <w:pPr>
        <w:rPr>
          <w:rFonts w:ascii="Arial" w:hAnsi="Arial" w:cs="Arial"/>
          <w:color w:val="000000"/>
          <w:sz w:val="24"/>
          <w:szCs w:val="24"/>
          <w:bdr w:val="none" w:sz="0" w:space="0" w:color="auto" w:frame="1"/>
          <w:shd w:val="clear" w:color="auto" w:fill="FFFFFF"/>
        </w:rPr>
      </w:pPr>
    </w:p>
    <w:p w:rsidR="005F57D5" w:rsidRDefault="005F57D5" w:rsidP="005F57D5">
      <w:pPr>
        <w:rPr>
          <w:rFonts w:ascii="Arial" w:hAnsi="Arial" w:cs="Arial"/>
          <w:color w:val="000000"/>
          <w:sz w:val="24"/>
          <w:szCs w:val="24"/>
          <w:bdr w:val="none" w:sz="0" w:space="0" w:color="auto" w:frame="1"/>
          <w:shd w:val="clear" w:color="auto" w:fill="FFFFFF"/>
        </w:rPr>
      </w:pPr>
      <w:r w:rsidRPr="00AF499B">
        <w:rPr>
          <w:rFonts w:ascii="Arial" w:hAnsi="Arial" w:cs="Arial"/>
          <w:color w:val="000000"/>
          <w:sz w:val="24"/>
          <w:szCs w:val="24"/>
          <w:bdr w:val="none" w:sz="0" w:space="0" w:color="auto" w:frame="1"/>
          <w:shd w:val="clear" w:color="auto" w:fill="FFFFFF"/>
        </w:rPr>
        <w:t>Foster Farms owns and operates multiple applicable facilities and trailer TRU’s. Foster Farms believes electric shore power is the most commercially viable trailer TRU zero emission standby alternative. Foster</w:t>
      </w:r>
      <w:r>
        <w:rPr>
          <w:rFonts w:ascii="Arial" w:hAnsi="Arial" w:cs="Arial"/>
          <w:color w:val="000000"/>
          <w:sz w:val="24"/>
          <w:szCs w:val="24"/>
          <w:bdr w:val="none" w:sz="0" w:space="0" w:color="auto" w:frame="1"/>
          <w:shd w:val="clear" w:color="auto" w:fill="FFFFFF"/>
        </w:rPr>
        <w:t xml:space="preserve"> Farms</w:t>
      </w:r>
      <w:r w:rsidRPr="00AF499B">
        <w:rPr>
          <w:rFonts w:ascii="Arial" w:hAnsi="Arial" w:cs="Arial"/>
          <w:color w:val="000000"/>
          <w:sz w:val="24"/>
          <w:szCs w:val="24"/>
          <w:bdr w:val="none" w:sz="0" w:space="0" w:color="auto" w:frame="1"/>
          <w:shd w:val="clear" w:color="auto" w:fill="FFFFFF"/>
        </w:rPr>
        <w:t xml:space="preserve"> has initiated a project to support zero emission operations at its applicable facilities. Foster Farms, as a socially responsible organization, has and will continue to invest considerable resources towards achieving zero emission stationary TRU operation. </w:t>
      </w:r>
    </w:p>
    <w:p w:rsidR="005F57D5" w:rsidRDefault="005F57D5" w:rsidP="005F57D5">
      <w:pPr>
        <w:rPr>
          <w:rFonts w:ascii="Arial" w:hAnsi="Arial" w:cs="Arial"/>
          <w:color w:val="000000"/>
          <w:sz w:val="24"/>
          <w:szCs w:val="24"/>
          <w:bdr w:val="none" w:sz="0" w:space="0" w:color="auto" w:frame="1"/>
          <w:shd w:val="clear" w:color="auto" w:fill="FFFFFF"/>
        </w:rPr>
      </w:pPr>
    </w:p>
    <w:p w:rsidR="005F57D5" w:rsidRDefault="005F57D5" w:rsidP="005F57D5">
      <w:pPr>
        <w:rPr>
          <w:rFonts w:ascii="Arial" w:hAnsi="Arial" w:cs="Arial"/>
          <w:color w:val="000000"/>
          <w:sz w:val="24"/>
          <w:szCs w:val="24"/>
          <w:bdr w:val="none" w:sz="0" w:space="0" w:color="auto" w:frame="1"/>
          <w:shd w:val="clear" w:color="auto" w:fill="FFFFFF"/>
        </w:rPr>
      </w:pPr>
      <w:r w:rsidRPr="00AF499B">
        <w:rPr>
          <w:rFonts w:ascii="Arial" w:hAnsi="Arial" w:cs="Arial"/>
          <w:color w:val="000000"/>
          <w:sz w:val="24"/>
          <w:szCs w:val="24"/>
          <w:bdr w:val="none" w:sz="0" w:space="0" w:color="auto" w:frame="1"/>
          <w:shd w:val="clear" w:color="auto" w:fill="FFFFFF"/>
        </w:rPr>
        <w:t xml:space="preserve">Adoption of the proposed CARB regulation would require Foster </w:t>
      </w:r>
      <w:r>
        <w:rPr>
          <w:rFonts w:ascii="Arial" w:hAnsi="Arial" w:cs="Arial"/>
          <w:color w:val="000000"/>
          <w:sz w:val="24"/>
          <w:szCs w:val="24"/>
          <w:bdr w:val="none" w:sz="0" w:space="0" w:color="auto" w:frame="1"/>
          <w:shd w:val="clear" w:color="auto" w:fill="FFFFFF"/>
        </w:rPr>
        <w:t xml:space="preserve">Farms </w:t>
      </w:r>
      <w:r w:rsidRPr="00AF499B">
        <w:rPr>
          <w:rFonts w:ascii="Arial" w:hAnsi="Arial" w:cs="Arial"/>
          <w:color w:val="000000"/>
          <w:sz w:val="24"/>
          <w:szCs w:val="24"/>
          <w:bdr w:val="none" w:sz="0" w:space="0" w:color="auto" w:frame="1"/>
          <w:shd w:val="clear" w:color="auto" w:fill="FFFFFF"/>
        </w:rPr>
        <w:t xml:space="preserve">to revise current plans and commit considerable resources to develop and implement a SOTL plan </w:t>
      </w:r>
      <w:r>
        <w:rPr>
          <w:rFonts w:ascii="Arial" w:hAnsi="Arial" w:cs="Arial"/>
          <w:color w:val="000000"/>
          <w:sz w:val="24"/>
          <w:szCs w:val="24"/>
          <w:bdr w:val="none" w:sz="0" w:space="0" w:color="auto" w:frame="1"/>
          <w:shd w:val="clear" w:color="auto" w:fill="FFFFFF"/>
        </w:rPr>
        <w:t>within an unreasonable timeline.  This regulation would also</w:t>
      </w:r>
      <w:r w:rsidRPr="00AF499B">
        <w:rPr>
          <w:rFonts w:ascii="Arial" w:hAnsi="Arial" w:cs="Arial"/>
          <w:color w:val="000000"/>
          <w:sz w:val="24"/>
          <w:szCs w:val="24"/>
          <w:bdr w:val="none" w:sz="0" w:space="0" w:color="auto" w:frame="1"/>
          <w:shd w:val="clear" w:color="auto" w:fill="FFFFFF"/>
        </w:rPr>
        <w:t xml:space="preserve"> accelerate TRU retrofit and replacement, </w:t>
      </w:r>
      <w:r>
        <w:rPr>
          <w:rFonts w:ascii="Arial" w:hAnsi="Arial" w:cs="Arial"/>
          <w:color w:val="000000"/>
          <w:sz w:val="24"/>
          <w:szCs w:val="24"/>
          <w:bdr w:val="none" w:sz="0" w:space="0" w:color="auto" w:frame="1"/>
          <w:shd w:val="clear" w:color="auto" w:fill="FFFFFF"/>
        </w:rPr>
        <w:t xml:space="preserve">would </w:t>
      </w:r>
      <w:r w:rsidRPr="00AF499B">
        <w:rPr>
          <w:rFonts w:ascii="Arial" w:hAnsi="Arial" w:cs="Arial"/>
          <w:color w:val="000000"/>
          <w:sz w:val="24"/>
          <w:szCs w:val="24"/>
          <w:bdr w:val="none" w:sz="0" w:space="0" w:color="auto" w:frame="1"/>
          <w:shd w:val="clear" w:color="auto" w:fill="FFFFFF"/>
        </w:rPr>
        <w:t xml:space="preserve">increase staffing to enforce CARB regulations, </w:t>
      </w:r>
      <w:r>
        <w:rPr>
          <w:rFonts w:ascii="Arial" w:hAnsi="Arial" w:cs="Arial"/>
          <w:color w:val="000000"/>
          <w:sz w:val="24"/>
          <w:szCs w:val="24"/>
          <w:bdr w:val="none" w:sz="0" w:space="0" w:color="auto" w:frame="1"/>
          <w:shd w:val="clear" w:color="auto" w:fill="FFFFFF"/>
        </w:rPr>
        <w:t xml:space="preserve">would </w:t>
      </w:r>
      <w:r w:rsidRPr="00AF499B">
        <w:rPr>
          <w:rFonts w:ascii="Arial" w:hAnsi="Arial" w:cs="Arial"/>
          <w:color w:val="000000"/>
          <w:sz w:val="24"/>
          <w:szCs w:val="24"/>
          <w:bdr w:val="none" w:sz="0" w:space="0" w:color="auto" w:frame="1"/>
          <w:shd w:val="clear" w:color="auto" w:fill="FFFFFF"/>
        </w:rPr>
        <w:t>drive additional cost</w:t>
      </w:r>
      <w:r>
        <w:rPr>
          <w:rFonts w:ascii="Arial" w:hAnsi="Arial" w:cs="Arial"/>
          <w:color w:val="000000"/>
          <w:sz w:val="24"/>
          <w:szCs w:val="24"/>
          <w:bdr w:val="none" w:sz="0" w:space="0" w:color="auto" w:frame="1"/>
          <w:shd w:val="clear" w:color="auto" w:fill="FFFFFF"/>
        </w:rPr>
        <w:t>s</w:t>
      </w:r>
      <w:r w:rsidRPr="00AF499B">
        <w:rPr>
          <w:rFonts w:ascii="Arial" w:hAnsi="Arial" w:cs="Arial"/>
          <w:color w:val="000000"/>
          <w:sz w:val="24"/>
          <w:szCs w:val="24"/>
          <w:bdr w:val="none" w:sz="0" w:space="0" w:color="auto" w:frame="1"/>
          <w:shd w:val="clear" w:color="auto" w:fill="FFFFFF"/>
        </w:rPr>
        <w:t xml:space="preserve"> in registration fees</w:t>
      </w:r>
      <w:r>
        <w:rPr>
          <w:rFonts w:ascii="Arial" w:hAnsi="Arial" w:cs="Arial"/>
          <w:color w:val="000000"/>
          <w:sz w:val="24"/>
          <w:szCs w:val="24"/>
          <w:bdr w:val="none" w:sz="0" w:space="0" w:color="auto" w:frame="1"/>
          <w:shd w:val="clear" w:color="auto" w:fill="FFFFFF"/>
        </w:rPr>
        <w:t>,</w:t>
      </w:r>
      <w:r w:rsidRPr="00AF499B">
        <w:rPr>
          <w:rFonts w:ascii="Arial" w:hAnsi="Arial" w:cs="Arial"/>
          <w:color w:val="000000"/>
          <w:sz w:val="24"/>
          <w:szCs w:val="24"/>
          <w:bdr w:val="none" w:sz="0" w:space="0" w:color="auto" w:frame="1"/>
          <w:shd w:val="clear" w:color="auto" w:fill="FFFFFF"/>
        </w:rPr>
        <w:t xml:space="preserve"> and </w:t>
      </w:r>
      <w:r>
        <w:rPr>
          <w:rFonts w:ascii="Arial" w:hAnsi="Arial" w:cs="Arial"/>
          <w:color w:val="000000"/>
          <w:sz w:val="24"/>
          <w:szCs w:val="24"/>
          <w:bdr w:val="none" w:sz="0" w:space="0" w:color="auto" w:frame="1"/>
          <w:shd w:val="clear" w:color="auto" w:fill="FFFFFF"/>
        </w:rPr>
        <w:t xml:space="preserve">would </w:t>
      </w:r>
      <w:r w:rsidRPr="00AF499B">
        <w:rPr>
          <w:rFonts w:ascii="Arial" w:hAnsi="Arial" w:cs="Arial"/>
          <w:color w:val="000000"/>
          <w:sz w:val="24"/>
          <w:szCs w:val="24"/>
          <w:bdr w:val="none" w:sz="0" w:space="0" w:color="auto" w:frame="1"/>
          <w:shd w:val="clear" w:color="auto" w:fill="FFFFFF"/>
        </w:rPr>
        <w:t xml:space="preserve">provide penalties for TRU activity outside the boundaries of Foster facilities. </w:t>
      </w:r>
    </w:p>
    <w:p w:rsidR="005F57D5" w:rsidRDefault="005F57D5" w:rsidP="005F57D5">
      <w:pPr>
        <w:rPr>
          <w:rFonts w:ascii="Arial" w:hAnsi="Arial" w:cs="Arial"/>
          <w:color w:val="000000"/>
          <w:sz w:val="24"/>
          <w:szCs w:val="24"/>
          <w:bdr w:val="none" w:sz="0" w:space="0" w:color="auto" w:frame="1"/>
          <w:shd w:val="clear" w:color="auto" w:fill="FFFFFF"/>
        </w:rPr>
      </w:pPr>
    </w:p>
    <w:p w:rsidR="005F57D5" w:rsidRDefault="005F57D5" w:rsidP="005F57D5">
      <w:pPr>
        <w:rPr>
          <w:rFonts w:ascii="Arial" w:hAnsi="Arial" w:cs="Arial"/>
          <w:color w:val="000000"/>
          <w:sz w:val="24"/>
          <w:szCs w:val="24"/>
          <w:bdr w:val="none" w:sz="0" w:space="0" w:color="auto" w:frame="1"/>
          <w:shd w:val="clear" w:color="auto" w:fill="FFFFFF"/>
        </w:rPr>
      </w:pPr>
      <w:r>
        <w:rPr>
          <w:rFonts w:ascii="Arial" w:hAnsi="Arial" w:cs="Arial"/>
          <w:color w:val="000000"/>
          <w:sz w:val="24"/>
          <w:szCs w:val="24"/>
          <w:bdr w:val="none" w:sz="0" w:space="0" w:color="auto" w:frame="1"/>
          <w:shd w:val="clear" w:color="auto" w:fill="FFFFFF"/>
        </w:rPr>
        <w:t>Specifically, as drafted the proposed regulation raises five main issues:</w:t>
      </w:r>
    </w:p>
    <w:p w:rsidR="005F57D5" w:rsidRDefault="005F57D5" w:rsidP="005F57D5">
      <w:pPr>
        <w:pStyle w:val="ListParagraph"/>
        <w:numPr>
          <w:ilvl w:val="0"/>
          <w:numId w:val="4"/>
        </w:numPr>
        <w:spacing w:after="160" w:line="259" w:lineRule="auto"/>
        <w:contextualSpacing/>
        <w:rPr>
          <w:rFonts w:ascii="Arial" w:hAnsi="Arial" w:cs="Arial"/>
          <w:color w:val="000000"/>
          <w:sz w:val="24"/>
          <w:szCs w:val="24"/>
          <w:bdr w:val="none" w:sz="0" w:space="0" w:color="auto" w:frame="1"/>
          <w:shd w:val="clear" w:color="auto" w:fill="FFFFFF"/>
        </w:rPr>
      </w:pPr>
      <w:r w:rsidRPr="00D922AA">
        <w:rPr>
          <w:rFonts w:ascii="Arial" w:hAnsi="Arial" w:cs="Arial"/>
          <w:b/>
          <w:color w:val="000000"/>
          <w:sz w:val="24"/>
          <w:szCs w:val="24"/>
          <w:bdr w:val="none" w:sz="0" w:space="0" w:color="auto" w:frame="1"/>
          <w:shd w:val="clear" w:color="auto" w:fill="FFFFFF"/>
        </w:rPr>
        <w:t>Capital Investment</w:t>
      </w:r>
      <w:r>
        <w:rPr>
          <w:rFonts w:ascii="Arial" w:hAnsi="Arial" w:cs="Arial"/>
          <w:color w:val="000000"/>
          <w:sz w:val="24"/>
          <w:szCs w:val="24"/>
          <w:bdr w:val="none" w:sz="0" w:space="0" w:color="auto" w:frame="1"/>
          <w:shd w:val="clear" w:color="auto" w:fill="FFFFFF"/>
        </w:rPr>
        <w:t>--Significant capital investment in retrofitting and replacing TRU’s before their expected life cycle.  Significant investment in electrifying all dock doors and installing electrical infrastructure to all applicable facility yards.  We have 11 applicable facilities. We have electrified docks at 5 facilities and our first yard infrastructure, with assistance from the CEC FPIP funding, will be completed by the end of 2020.</w:t>
      </w:r>
    </w:p>
    <w:p w:rsidR="005F57D5" w:rsidRDefault="005F57D5" w:rsidP="005F57D5">
      <w:pPr>
        <w:pStyle w:val="ListParagraph"/>
        <w:numPr>
          <w:ilvl w:val="0"/>
          <w:numId w:val="4"/>
        </w:numPr>
        <w:spacing w:after="160" w:line="259" w:lineRule="auto"/>
        <w:contextualSpacing/>
        <w:rPr>
          <w:rFonts w:ascii="Arial" w:hAnsi="Arial" w:cs="Arial"/>
          <w:color w:val="000000"/>
          <w:sz w:val="24"/>
          <w:szCs w:val="24"/>
          <w:bdr w:val="none" w:sz="0" w:space="0" w:color="auto" w:frame="1"/>
          <w:shd w:val="clear" w:color="auto" w:fill="FFFFFF"/>
        </w:rPr>
      </w:pPr>
      <w:r>
        <w:rPr>
          <w:rFonts w:ascii="Arial" w:hAnsi="Arial" w:cs="Arial"/>
          <w:b/>
          <w:color w:val="000000"/>
          <w:sz w:val="24"/>
          <w:szCs w:val="24"/>
          <w:bdr w:val="none" w:sz="0" w:space="0" w:color="auto" w:frame="1"/>
          <w:shd w:val="clear" w:color="auto" w:fill="FFFFFF"/>
        </w:rPr>
        <w:t>Timing Requirements--</w:t>
      </w:r>
      <w:r>
        <w:rPr>
          <w:rFonts w:ascii="Arial" w:hAnsi="Arial" w:cs="Arial"/>
          <w:color w:val="000000"/>
          <w:sz w:val="24"/>
          <w:szCs w:val="24"/>
          <w:bdr w:val="none" w:sz="0" w:space="0" w:color="auto" w:frame="1"/>
          <w:shd w:val="clear" w:color="auto" w:fill="FFFFFF"/>
        </w:rPr>
        <w:t xml:space="preserve">The aggressive timing of the regulation by requiring all dock doors and yard infrastructure completely installed by 12/31/2023 given that a TRU with a manufacture date of 12/31/2023 or later must operate under the SOTL requirements.  This is a very aggressive timeline and much faster than we had planned given we have 11 applicable facilities and our first yard infrastructure will be installed by the end of 2020.  </w:t>
      </w:r>
    </w:p>
    <w:p w:rsidR="005F57D5" w:rsidRDefault="005F57D5" w:rsidP="005F57D5">
      <w:pPr>
        <w:pStyle w:val="ListParagraph"/>
        <w:numPr>
          <w:ilvl w:val="0"/>
          <w:numId w:val="4"/>
        </w:numPr>
        <w:spacing w:after="160" w:line="259" w:lineRule="auto"/>
        <w:contextualSpacing/>
        <w:rPr>
          <w:rFonts w:ascii="Arial" w:hAnsi="Arial" w:cs="Arial"/>
          <w:color w:val="000000"/>
          <w:sz w:val="24"/>
          <w:szCs w:val="24"/>
          <w:bdr w:val="none" w:sz="0" w:space="0" w:color="auto" w:frame="1"/>
          <w:shd w:val="clear" w:color="auto" w:fill="FFFFFF"/>
        </w:rPr>
      </w:pPr>
      <w:r>
        <w:rPr>
          <w:rFonts w:ascii="Arial" w:hAnsi="Arial" w:cs="Arial"/>
          <w:b/>
          <w:color w:val="000000"/>
          <w:sz w:val="24"/>
          <w:szCs w:val="24"/>
          <w:bdr w:val="none" w:sz="0" w:space="0" w:color="auto" w:frame="1"/>
          <w:shd w:val="clear" w:color="auto" w:fill="FFFFFF"/>
        </w:rPr>
        <w:t>Geo-fencing Requirements-</w:t>
      </w:r>
      <w:r>
        <w:rPr>
          <w:rFonts w:ascii="Arial" w:hAnsi="Arial" w:cs="Arial"/>
          <w:color w:val="000000"/>
          <w:sz w:val="24"/>
          <w:szCs w:val="24"/>
          <w:bdr w:val="none" w:sz="0" w:space="0" w:color="auto" w:frame="1"/>
          <w:shd w:val="clear" w:color="auto" w:fill="FFFFFF"/>
        </w:rPr>
        <w:t>The proposed regulation holds the applicable facility responsible for all TRU’s operating within 1 mile of the facility.  We have multiple facilities within 1 mile of a truck stop, restaurants, and gas stations.  The applicable facility cannot control outside carriers and their actions prior to reaching our facility.</w:t>
      </w:r>
    </w:p>
    <w:p w:rsidR="005F57D5" w:rsidRDefault="005F57D5" w:rsidP="005F57D5">
      <w:pPr>
        <w:pStyle w:val="ListParagraph"/>
        <w:numPr>
          <w:ilvl w:val="0"/>
          <w:numId w:val="4"/>
        </w:numPr>
        <w:spacing w:after="160" w:line="259" w:lineRule="auto"/>
        <w:contextualSpacing/>
        <w:rPr>
          <w:rFonts w:ascii="Arial" w:hAnsi="Arial" w:cs="Arial"/>
          <w:color w:val="000000"/>
          <w:sz w:val="24"/>
          <w:szCs w:val="24"/>
          <w:bdr w:val="none" w:sz="0" w:space="0" w:color="auto" w:frame="1"/>
          <w:shd w:val="clear" w:color="auto" w:fill="FFFFFF"/>
        </w:rPr>
      </w:pPr>
      <w:r>
        <w:rPr>
          <w:rFonts w:ascii="Arial" w:hAnsi="Arial" w:cs="Arial"/>
          <w:b/>
          <w:color w:val="000000"/>
          <w:sz w:val="24"/>
          <w:szCs w:val="24"/>
          <w:bdr w:val="none" w:sz="0" w:space="0" w:color="auto" w:frame="1"/>
          <w:shd w:val="clear" w:color="auto" w:fill="FFFFFF"/>
        </w:rPr>
        <w:t>Compatibility—</w:t>
      </w:r>
      <w:r>
        <w:rPr>
          <w:rFonts w:ascii="Arial" w:hAnsi="Arial" w:cs="Arial"/>
          <w:color w:val="000000"/>
          <w:sz w:val="24"/>
          <w:szCs w:val="24"/>
          <w:bdr w:val="none" w:sz="0" w:space="0" w:color="auto" w:frame="1"/>
          <w:shd w:val="clear" w:color="auto" w:fill="FFFFFF"/>
        </w:rPr>
        <w:t>we are unclear whether there will be a standard plug and voltage implemented by all OEM’s.  Our customers and hired carriers that pick up at our facility may have a different plug or voltage requirement than our fleet is equipped with.  This could also be true for our equipment that will need to be plugged in at our customer’s warehouse.</w:t>
      </w:r>
    </w:p>
    <w:p w:rsidR="005F57D5" w:rsidRDefault="005F57D5" w:rsidP="005F57D5">
      <w:pPr>
        <w:pStyle w:val="ListParagraph"/>
        <w:numPr>
          <w:ilvl w:val="0"/>
          <w:numId w:val="4"/>
        </w:numPr>
        <w:spacing w:after="160" w:line="259" w:lineRule="auto"/>
        <w:contextualSpacing/>
        <w:rPr>
          <w:rFonts w:ascii="Arial" w:hAnsi="Arial" w:cs="Arial"/>
          <w:color w:val="000000"/>
          <w:sz w:val="24"/>
          <w:szCs w:val="24"/>
          <w:bdr w:val="none" w:sz="0" w:space="0" w:color="auto" w:frame="1"/>
          <w:shd w:val="clear" w:color="auto" w:fill="FFFFFF"/>
        </w:rPr>
      </w:pPr>
      <w:r>
        <w:rPr>
          <w:rFonts w:ascii="Arial" w:hAnsi="Arial" w:cs="Arial"/>
          <w:b/>
          <w:color w:val="000000"/>
          <w:sz w:val="24"/>
          <w:szCs w:val="24"/>
          <w:bdr w:val="none" w:sz="0" w:space="0" w:color="auto" w:frame="1"/>
          <w:shd w:val="clear" w:color="auto" w:fill="FFFFFF"/>
        </w:rPr>
        <w:t>Registration and Reporting--</w:t>
      </w:r>
      <w:r>
        <w:rPr>
          <w:rFonts w:ascii="Arial" w:hAnsi="Arial" w:cs="Arial"/>
          <w:color w:val="000000"/>
          <w:sz w:val="24"/>
          <w:szCs w:val="24"/>
          <w:bdr w:val="none" w:sz="0" w:space="0" w:color="auto" w:frame="1"/>
          <w:shd w:val="clear" w:color="auto" w:fill="FFFFFF"/>
        </w:rPr>
        <w:t>The data requirements for not only registering all TRU’s but also the quarterly reporting requirements fall on TRU owner/operators and all applicable facilities which will require</w:t>
      </w:r>
      <w:r w:rsidR="008F70B4">
        <w:rPr>
          <w:rFonts w:ascii="Arial" w:hAnsi="Arial" w:cs="Arial"/>
          <w:color w:val="000000"/>
          <w:sz w:val="24"/>
          <w:szCs w:val="24"/>
          <w:bdr w:val="none" w:sz="0" w:space="0" w:color="auto" w:frame="1"/>
          <w:shd w:val="clear" w:color="auto" w:fill="FFFFFF"/>
        </w:rPr>
        <w:t xml:space="preserve"> additional staffing to </w:t>
      </w:r>
      <w:r>
        <w:rPr>
          <w:rFonts w:ascii="Arial" w:hAnsi="Arial" w:cs="Arial"/>
          <w:color w:val="000000"/>
          <w:sz w:val="24"/>
          <w:szCs w:val="24"/>
          <w:bdr w:val="none" w:sz="0" w:space="0" w:color="auto" w:frame="1"/>
          <w:shd w:val="clear" w:color="auto" w:fill="FFFFFF"/>
        </w:rPr>
        <w:t>register and col</w:t>
      </w:r>
      <w:r w:rsidR="008F70B4">
        <w:rPr>
          <w:rFonts w:ascii="Arial" w:hAnsi="Arial" w:cs="Arial"/>
          <w:color w:val="000000"/>
          <w:sz w:val="24"/>
          <w:szCs w:val="24"/>
          <w:bdr w:val="none" w:sz="0" w:space="0" w:color="auto" w:frame="1"/>
          <w:shd w:val="clear" w:color="auto" w:fill="FFFFFF"/>
        </w:rPr>
        <w:t>lect data adding cost that our</w:t>
      </w:r>
      <w:bookmarkStart w:id="0" w:name="_GoBack"/>
      <w:bookmarkEnd w:id="0"/>
      <w:r>
        <w:rPr>
          <w:rFonts w:ascii="Arial" w:hAnsi="Arial" w:cs="Arial"/>
          <w:color w:val="000000"/>
          <w:sz w:val="24"/>
          <w:szCs w:val="24"/>
          <w:bdr w:val="none" w:sz="0" w:space="0" w:color="auto" w:frame="1"/>
          <w:shd w:val="clear" w:color="auto" w:fill="FFFFFF"/>
        </w:rPr>
        <w:t xml:space="preserve"> competitors outside of CA would not incur.  </w:t>
      </w:r>
    </w:p>
    <w:p w:rsidR="005F57D5" w:rsidRDefault="005F57D5" w:rsidP="005F57D5">
      <w:pPr>
        <w:rPr>
          <w:rFonts w:ascii="Arial" w:hAnsi="Arial" w:cs="Arial"/>
          <w:color w:val="000000"/>
          <w:sz w:val="24"/>
          <w:szCs w:val="24"/>
          <w:bdr w:val="none" w:sz="0" w:space="0" w:color="auto" w:frame="1"/>
          <w:shd w:val="clear" w:color="auto" w:fill="FFFFFF"/>
        </w:rPr>
      </w:pPr>
    </w:p>
    <w:p w:rsidR="005F57D5" w:rsidRPr="0030647A" w:rsidRDefault="005F57D5" w:rsidP="005F57D5">
      <w:pPr>
        <w:rPr>
          <w:rFonts w:ascii="Arial" w:hAnsi="Arial" w:cs="Arial"/>
          <w:color w:val="000000"/>
          <w:sz w:val="24"/>
          <w:szCs w:val="24"/>
          <w:bdr w:val="none" w:sz="0" w:space="0" w:color="auto" w:frame="1"/>
          <w:shd w:val="clear" w:color="auto" w:fill="FFFFFF"/>
        </w:rPr>
      </w:pPr>
      <w:r>
        <w:rPr>
          <w:rFonts w:ascii="Arial" w:hAnsi="Arial" w:cs="Arial"/>
          <w:color w:val="000000"/>
          <w:sz w:val="24"/>
          <w:szCs w:val="24"/>
          <w:bdr w:val="none" w:sz="0" w:space="0" w:color="auto" w:frame="1"/>
          <w:shd w:val="clear" w:color="auto" w:fill="FFFFFF"/>
        </w:rPr>
        <w:t>These concerns are outlined in detail below by section numbers.</w:t>
      </w:r>
    </w:p>
    <w:p w:rsidR="005F57D5" w:rsidRPr="002E669F" w:rsidRDefault="005F57D5" w:rsidP="005F57D5">
      <w:pPr>
        <w:pStyle w:val="ListParagraph"/>
        <w:rPr>
          <w:rFonts w:ascii="Arial" w:hAnsi="Arial" w:cs="Arial"/>
          <w:color w:val="000000"/>
          <w:sz w:val="24"/>
          <w:szCs w:val="24"/>
          <w:bdr w:val="none" w:sz="0" w:space="0" w:color="auto" w:frame="1"/>
          <w:shd w:val="clear" w:color="auto" w:fill="FFFFFF"/>
        </w:rPr>
      </w:pPr>
    </w:p>
    <w:p w:rsidR="005F57D5" w:rsidRPr="00995265" w:rsidRDefault="005F57D5" w:rsidP="005F57D5">
      <w:pPr>
        <w:rPr>
          <w:rFonts w:ascii="Arial" w:hAnsi="Arial" w:cs="Arial"/>
          <w:b/>
          <w:i/>
          <w:color w:val="000000"/>
          <w:sz w:val="24"/>
          <w:szCs w:val="24"/>
          <w:bdr w:val="none" w:sz="0" w:space="0" w:color="auto" w:frame="1"/>
          <w:shd w:val="clear" w:color="auto" w:fill="FFFFFF"/>
        </w:rPr>
      </w:pPr>
      <w:r w:rsidRPr="00E91709">
        <w:rPr>
          <w:rFonts w:ascii="Arial" w:hAnsi="Arial" w:cs="Arial"/>
          <w:b/>
          <w:color w:val="000000"/>
          <w:sz w:val="24"/>
          <w:szCs w:val="24"/>
          <w:bdr w:val="none" w:sz="0" w:space="0" w:color="auto" w:frame="1"/>
          <w:shd w:val="clear" w:color="auto" w:fill="FFFFFF"/>
        </w:rPr>
        <w:t>Section 2478.7</w:t>
      </w:r>
      <w:r w:rsidRPr="00E91709">
        <w:rPr>
          <w:rFonts w:ascii="Arial" w:hAnsi="Arial" w:cs="Arial"/>
          <w:color w:val="000000"/>
          <w:sz w:val="24"/>
          <w:szCs w:val="24"/>
          <w:bdr w:val="none" w:sz="0" w:space="0" w:color="auto" w:frame="1"/>
          <w:shd w:val="clear" w:color="auto" w:fill="FFFFFF"/>
        </w:rPr>
        <w:t xml:space="preserve"> </w:t>
      </w:r>
      <w:r w:rsidRPr="009D0893">
        <w:rPr>
          <w:rFonts w:ascii="Arial" w:hAnsi="Arial" w:cs="Arial"/>
          <w:color w:val="000000"/>
          <w:sz w:val="24"/>
          <w:szCs w:val="24"/>
          <w:bdr w:val="none" w:sz="0" w:space="0" w:color="auto" w:frame="1"/>
          <w:shd w:val="clear" w:color="auto" w:fill="FFFFFF"/>
        </w:rPr>
        <w:t>Revises current compliance schedule by requiring any TRU manufactured before December 31, 2023 be equipped with a level 3 Verified Diesel Emission Control Strategy (VDECS).</w:t>
      </w:r>
      <w:r w:rsidRPr="00995265">
        <w:rPr>
          <w:rFonts w:ascii="Arial" w:hAnsi="Arial" w:cs="Arial"/>
          <w:b/>
          <w:i/>
          <w:color w:val="000000"/>
          <w:sz w:val="24"/>
          <w:szCs w:val="24"/>
          <w:bdr w:val="none" w:sz="0" w:space="0" w:color="auto" w:frame="1"/>
          <w:shd w:val="clear" w:color="auto" w:fill="FFFFFF"/>
        </w:rPr>
        <w:t xml:space="preserve"> Beginning with model year 2016, Foster </w:t>
      </w:r>
      <w:r>
        <w:rPr>
          <w:rFonts w:ascii="Arial" w:hAnsi="Arial" w:cs="Arial"/>
          <w:b/>
          <w:i/>
          <w:color w:val="000000"/>
          <w:sz w:val="24"/>
          <w:szCs w:val="24"/>
          <w:bdr w:val="none" w:sz="0" w:space="0" w:color="auto" w:frame="1"/>
          <w:shd w:val="clear" w:color="auto" w:fill="FFFFFF"/>
        </w:rPr>
        <w:t xml:space="preserve">Farms </w:t>
      </w:r>
      <w:r w:rsidRPr="00995265">
        <w:rPr>
          <w:rFonts w:ascii="Arial" w:hAnsi="Arial" w:cs="Arial"/>
          <w:b/>
          <w:i/>
          <w:color w:val="000000"/>
          <w:sz w:val="24"/>
          <w:szCs w:val="24"/>
          <w:bdr w:val="none" w:sz="0" w:space="0" w:color="auto" w:frame="1"/>
          <w:shd w:val="clear" w:color="auto" w:fill="FFFFFF"/>
        </w:rPr>
        <w:t xml:space="preserve">trailer TRU’s purchased have zero emission stationary operation capability. This requires Foster to retrofit equipment ahead of </w:t>
      </w:r>
      <w:r>
        <w:rPr>
          <w:rFonts w:ascii="Arial" w:hAnsi="Arial" w:cs="Arial"/>
          <w:b/>
          <w:i/>
          <w:color w:val="000000"/>
          <w:sz w:val="24"/>
          <w:szCs w:val="24"/>
          <w:bdr w:val="none" w:sz="0" w:space="0" w:color="auto" w:frame="1"/>
          <w:shd w:val="clear" w:color="auto" w:fill="FFFFFF"/>
        </w:rPr>
        <w:t>seven-year cycle which increases the</w:t>
      </w:r>
      <w:r w:rsidRPr="00995265">
        <w:rPr>
          <w:rFonts w:ascii="Arial" w:hAnsi="Arial" w:cs="Arial"/>
          <w:b/>
          <w:i/>
          <w:color w:val="000000"/>
          <w:sz w:val="24"/>
          <w:szCs w:val="24"/>
          <w:bdr w:val="none" w:sz="0" w:space="0" w:color="auto" w:frame="1"/>
          <w:shd w:val="clear" w:color="auto" w:fill="FFFFFF"/>
        </w:rPr>
        <w:t xml:space="preserve"> cost of compliance.       </w:t>
      </w:r>
    </w:p>
    <w:p w:rsidR="005F57D5" w:rsidRPr="00DA7CF7" w:rsidRDefault="005F57D5" w:rsidP="005F57D5">
      <w:pPr>
        <w:rPr>
          <w:rFonts w:ascii="Arial" w:hAnsi="Arial" w:cs="Arial"/>
          <w:b/>
          <w:i/>
          <w:color w:val="000000"/>
          <w:sz w:val="24"/>
          <w:szCs w:val="24"/>
          <w:bdr w:val="none" w:sz="0" w:space="0" w:color="auto" w:frame="1"/>
          <w:shd w:val="clear" w:color="auto" w:fill="FFFFFF"/>
        </w:rPr>
      </w:pPr>
      <w:r w:rsidRPr="00E91709">
        <w:rPr>
          <w:rFonts w:ascii="Arial" w:hAnsi="Arial" w:cs="Arial"/>
          <w:b/>
          <w:color w:val="000000"/>
          <w:sz w:val="24"/>
          <w:szCs w:val="24"/>
          <w:bdr w:val="none" w:sz="0" w:space="0" w:color="auto" w:frame="1"/>
          <w:shd w:val="clear" w:color="auto" w:fill="FFFFFF"/>
        </w:rPr>
        <w:t>Section 2478.10</w:t>
      </w:r>
      <w:r w:rsidRPr="00E91709">
        <w:rPr>
          <w:rFonts w:ascii="Arial" w:hAnsi="Arial" w:cs="Arial"/>
          <w:color w:val="000000"/>
          <w:sz w:val="24"/>
          <w:szCs w:val="24"/>
          <w:bdr w:val="none" w:sz="0" w:space="0" w:color="auto" w:frame="1"/>
          <w:shd w:val="clear" w:color="auto" w:fill="FFFFFF"/>
        </w:rPr>
        <w:t xml:space="preserve"> Establishes the Stationary Operation Time Limit (SOTL) of 15 minutes. </w:t>
      </w:r>
      <w:r>
        <w:rPr>
          <w:rFonts w:ascii="Arial" w:hAnsi="Arial" w:cs="Arial"/>
          <w:color w:val="000000"/>
          <w:sz w:val="24"/>
          <w:szCs w:val="24"/>
          <w:bdr w:val="none" w:sz="0" w:space="0" w:color="auto" w:frame="1"/>
          <w:shd w:val="clear" w:color="auto" w:fill="FFFFFF"/>
        </w:rPr>
        <w:t xml:space="preserve">Compliance requires on or after December 31, 2023 an applicable facility shall not permit any trailer TRU or TRU Gen set with a manufacture date after December 31, 2023 to operate in a manner that exceeds a SOTL of 15 minutes within an applicable facility.  </w:t>
      </w:r>
      <w:r>
        <w:rPr>
          <w:rFonts w:ascii="Arial" w:hAnsi="Arial" w:cs="Arial"/>
          <w:b/>
          <w:i/>
          <w:color w:val="000000"/>
          <w:sz w:val="24"/>
          <w:szCs w:val="24"/>
          <w:bdr w:val="none" w:sz="0" w:space="0" w:color="auto" w:frame="1"/>
          <w:shd w:val="clear" w:color="auto" w:fill="FFFFFF"/>
        </w:rPr>
        <w:t xml:space="preserve">This would require infrastructures to be completed at all Applicable Facilities by the end of 2023.  </w:t>
      </w:r>
      <w:r>
        <w:rPr>
          <w:rFonts w:ascii="Arial" w:hAnsi="Arial" w:cs="Arial"/>
          <w:color w:val="000000"/>
          <w:sz w:val="24"/>
          <w:szCs w:val="24"/>
          <w:bdr w:val="none" w:sz="0" w:space="0" w:color="auto" w:frame="1"/>
          <w:shd w:val="clear" w:color="auto" w:fill="FFFFFF"/>
        </w:rPr>
        <w:t>Compliance requires</w:t>
      </w:r>
      <w:r w:rsidRPr="00E91709">
        <w:rPr>
          <w:rFonts w:ascii="Arial" w:hAnsi="Arial" w:cs="Arial"/>
          <w:color w:val="000000"/>
          <w:sz w:val="24"/>
          <w:szCs w:val="24"/>
          <w:bdr w:val="none" w:sz="0" w:space="0" w:color="auto" w:frame="1"/>
          <w:shd w:val="clear" w:color="auto" w:fill="FFFFFF"/>
        </w:rPr>
        <w:t xml:space="preserve"> TRU</w:t>
      </w:r>
      <w:r>
        <w:rPr>
          <w:rFonts w:ascii="Arial" w:hAnsi="Arial" w:cs="Arial"/>
          <w:color w:val="000000"/>
          <w:sz w:val="24"/>
          <w:szCs w:val="24"/>
          <w:bdr w:val="none" w:sz="0" w:space="0" w:color="auto" w:frame="1"/>
          <w:shd w:val="clear" w:color="auto" w:fill="FFFFFF"/>
        </w:rPr>
        <w:t>’s</w:t>
      </w:r>
      <w:r w:rsidRPr="00E91709">
        <w:rPr>
          <w:rFonts w:ascii="Arial" w:hAnsi="Arial" w:cs="Arial"/>
          <w:color w:val="000000"/>
          <w:sz w:val="24"/>
          <w:szCs w:val="24"/>
          <w:bdr w:val="none" w:sz="0" w:space="0" w:color="auto" w:frame="1"/>
          <w:shd w:val="clear" w:color="auto" w:fill="FFFFFF"/>
        </w:rPr>
        <w:t xml:space="preserve"> manufactured before December 31, 2023, without a zero emission option</w:t>
      </w:r>
      <w:r>
        <w:rPr>
          <w:rFonts w:ascii="Arial" w:hAnsi="Arial" w:cs="Arial"/>
          <w:color w:val="000000"/>
          <w:sz w:val="24"/>
          <w:szCs w:val="24"/>
          <w:bdr w:val="none" w:sz="0" w:space="0" w:color="auto" w:frame="1"/>
          <w:shd w:val="clear" w:color="auto" w:fill="FFFFFF"/>
        </w:rPr>
        <w:t>,</w:t>
      </w:r>
      <w:r w:rsidRPr="00E91709">
        <w:rPr>
          <w:rFonts w:ascii="Arial" w:hAnsi="Arial" w:cs="Arial"/>
          <w:color w:val="000000"/>
          <w:sz w:val="24"/>
          <w:szCs w:val="24"/>
          <w:bdr w:val="none" w:sz="0" w:space="0" w:color="auto" w:frame="1"/>
          <w:shd w:val="clear" w:color="auto" w:fill="FFFFFF"/>
        </w:rPr>
        <w:t xml:space="preserve"> </w:t>
      </w:r>
      <w:r>
        <w:rPr>
          <w:rFonts w:ascii="Arial" w:hAnsi="Arial" w:cs="Arial"/>
          <w:color w:val="000000"/>
          <w:sz w:val="24"/>
          <w:szCs w:val="24"/>
          <w:bdr w:val="none" w:sz="0" w:space="0" w:color="auto" w:frame="1"/>
          <w:shd w:val="clear" w:color="auto" w:fill="FFFFFF"/>
        </w:rPr>
        <w:t xml:space="preserve">must </w:t>
      </w:r>
      <w:r w:rsidRPr="00E91709">
        <w:rPr>
          <w:rFonts w:ascii="Arial" w:hAnsi="Arial" w:cs="Arial"/>
          <w:color w:val="000000"/>
          <w:sz w:val="24"/>
          <w:szCs w:val="24"/>
          <w:bdr w:val="none" w:sz="0" w:space="0" w:color="auto" w:frame="1"/>
          <w:shd w:val="clear" w:color="auto" w:fill="FFFFFF"/>
        </w:rPr>
        <w:t xml:space="preserve">be replaced </w:t>
      </w:r>
      <w:r>
        <w:rPr>
          <w:rFonts w:ascii="Arial" w:hAnsi="Arial" w:cs="Arial"/>
          <w:color w:val="000000"/>
          <w:sz w:val="24"/>
          <w:szCs w:val="24"/>
          <w:bdr w:val="none" w:sz="0" w:space="0" w:color="auto" w:frame="1"/>
          <w:shd w:val="clear" w:color="auto" w:fill="FFFFFF"/>
        </w:rPr>
        <w:t>by</w:t>
      </w:r>
      <w:r w:rsidRPr="00E91709">
        <w:rPr>
          <w:rFonts w:ascii="Arial" w:hAnsi="Arial" w:cs="Arial"/>
          <w:color w:val="000000"/>
          <w:sz w:val="24"/>
          <w:szCs w:val="24"/>
          <w:bdr w:val="none" w:sz="0" w:space="0" w:color="auto" w:frame="1"/>
          <w:shd w:val="clear" w:color="auto" w:fill="FFFFFF"/>
        </w:rPr>
        <w:t xml:space="preserve"> December 31, 2027.</w:t>
      </w:r>
      <w:r w:rsidR="003259CF">
        <w:rPr>
          <w:rFonts w:ascii="Arial" w:hAnsi="Arial" w:cs="Arial"/>
          <w:color w:val="000000"/>
          <w:sz w:val="24"/>
          <w:szCs w:val="24"/>
          <w:bdr w:val="none" w:sz="0" w:space="0" w:color="auto" w:frame="1"/>
          <w:shd w:val="clear" w:color="auto" w:fill="FFFFFF"/>
        </w:rPr>
        <w:t xml:space="preserve"> </w:t>
      </w:r>
      <w:r w:rsidRPr="00E91709">
        <w:rPr>
          <w:rFonts w:ascii="Arial" w:hAnsi="Arial" w:cs="Arial"/>
          <w:color w:val="000000"/>
          <w:sz w:val="24"/>
          <w:szCs w:val="24"/>
          <w:bdr w:val="none" w:sz="0" w:space="0" w:color="auto" w:frame="1"/>
          <w:shd w:val="clear" w:color="auto" w:fill="FFFFFF"/>
        </w:rPr>
        <w:t xml:space="preserve"> </w:t>
      </w:r>
      <w:r w:rsidR="003259CF" w:rsidRPr="00DA7CF7">
        <w:rPr>
          <w:rFonts w:ascii="Arial" w:hAnsi="Arial" w:cs="Arial"/>
          <w:b/>
          <w:i/>
          <w:color w:val="000000"/>
          <w:sz w:val="24"/>
          <w:szCs w:val="24"/>
          <w:bdr w:val="none" w:sz="0" w:space="0" w:color="auto" w:frame="1"/>
          <w:shd w:val="clear" w:color="auto" w:fill="FFFFFF"/>
        </w:rPr>
        <w:t>Foster</w:t>
      </w:r>
      <w:r w:rsidR="003259CF">
        <w:rPr>
          <w:rFonts w:ascii="Arial" w:hAnsi="Arial" w:cs="Arial"/>
          <w:b/>
          <w:i/>
          <w:color w:val="000000"/>
          <w:sz w:val="24"/>
          <w:szCs w:val="24"/>
          <w:bdr w:val="none" w:sz="0" w:space="0" w:color="auto" w:frame="1"/>
          <w:shd w:val="clear" w:color="auto" w:fill="FFFFFF"/>
        </w:rPr>
        <w:t xml:space="preserve"> Farms</w:t>
      </w:r>
      <w:r w:rsidR="003259CF" w:rsidRPr="00DA7CF7">
        <w:rPr>
          <w:rFonts w:ascii="Arial" w:hAnsi="Arial" w:cs="Arial"/>
          <w:b/>
          <w:i/>
          <w:color w:val="000000"/>
          <w:sz w:val="24"/>
          <w:szCs w:val="24"/>
          <w:bdr w:val="none" w:sz="0" w:space="0" w:color="auto" w:frame="1"/>
          <w:shd w:val="clear" w:color="auto" w:fill="FFFFFF"/>
        </w:rPr>
        <w:t xml:space="preserve"> will be required to replace 300 trailers ahead of current</w:t>
      </w:r>
      <w:r w:rsidR="003259CF">
        <w:rPr>
          <w:rFonts w:ascii="Arial" w:hAnsi="Arial" w:cs="Arial"/>
          <w:b/>
          <w:i/>
          <w:color w:val="000000"/>
          <w:sz w:val="24"/>
          <w:szCs w:val="24"/>
          <w:bdr w:val="none" w:sz="0" w:space="0" w:color="auto" w:frame="1"/>
          <w:shd w:val="clear" w:color="auto" w:fill="FFFFFF"/>
        </w:rPr>
        <w:t xml:space="preserve"> life cycle</w:t>
      </w:r>
      <w:r w:rsidR="003259CF" w:rsidRPr="00DA7CF7">
        <w:rPr>
          <w:rFonts w:ascii="Arial" w:hAnsi="Arial" w:cs="Arial"/>
          <w:b/>
          <w:i/>
          <w:color w:val="000000"/>
          <w:sz w:val="24"/>
          <w:szCs w:val="24"/>
          <w:bdr w:val="none" w:sz="0" w:space="0" w:color="auto" w:frame="1"/>
          <w:shd w:val="clear" w:color="auto" w:fill="FFFFFF"/>
        </w:rPr>
        <w:t xml:space="preserve"> schedule</w:t>
      </w:r>
      <w:r w:rsidR="003259CF">
        <w:rPr>
          <w:rFonts w:ascii="Arial" w:hAnsi="Arial" w:cs="Arial"/>
          <w:b/>
          <w:i/>
          <w:color w:val="000000"/>
          <w:sz w:val="24"/>
          <w:szCs w:val="24"/>
          <w:bdr w:val="none" w:sz="0" w:space="0" w:color="auto" w:frame="1"/>
          <w:shd w:val="clear" w:color="auto" w:fill="FFFFFF"/>
        </w:rPr>
        <w:t xml:space="preserve">.  </w:t>
      </w:r>
      <w:r w:rsidRPr="00E91709">
        <w:rPr>
          <w:rFonts w:ascii="Arial" w:hAnsi="Arial" w:cs="Arial"/>
          <w:color w:val="000000"/>
          <w:sz w:val="24"/>
          <w:szCs w:val="24"/>
          <w:bdr w:val="none" w:sz="0" w:space="0" w:color="auto" w:frame="1"/>
          <w:shd w:val="clear" w:color="auto" w:fill="FFFFFF"/>
        </w:rPr>
        <w:t xml:space="preserve">Compliance also requires facility owners be responsible for TRU’s within one mile of facility boundary. </w:t>
      </w:r>
      <w:r>
        <w:rPr>
          <w:rFonts w:ascii="Arial" w:hAnsi="Arial" w:cs="Arial"/>
          <w:b/>
          <w:i/>
          <w:color w:val="000000"/>
          <w:sz w:val="24"/>
          <w:szCs w:val="24"/>
          <w:bdr w:val="none" w:sz="0" w:space="0" w:color="auto" w:frame="1"/>
          <w:shd w:val="clear" w:color="auto" w:fill="FFFFFF"/>
        </w:rPr>
        <w:t xml:space="preserve">The way the proposed regulation is written </w:t>
      </w:r>
      <w:r>
        <w:rPr>
          <w:rFonts w:ascii="Arial" w:hAnsi="Arial" w:cs="Arial"/>
          <w:b/>
          <w:i/>
          <w:color w:val="000000"/>
          <w:sz w:val="24"/>
          <w:szCs w:val="24"/>
          <w:bdr w:val="none" w:sz="0" w:space="0" w:color="auto" w:frame="1"/>
          <w:shd w:val="clear" w:color="auto" w:fill="FFFFFF"/>
        </w:rPr>
        <w:lastRenderedPageBreak/>
        <w:t>Foster Farms would also</w:t>
      </w:r>
      <w:r w:rsidRPr="00DA7CF7">
        <w:rPr>
          <w:rFonts w:ascii="Arial" w:hAnsi="Arial" w:cs="Arial"/>
          <w:b/>
          <w:i/>
          <w:color w:val="000000"/>
          <w:sz w:val="24"/>
          <w:szCs w:val="24"/>
          <w:bdr w:val="none" w:sz="0" w:space="0" w:color="auto" w:frame="1"/>
          <w:shd w:val="clear" w:color="auto" w:fill="FFFFFF"/>
        </w:rPr>
        <w:t xml:space="preserve"> be subject to compliance violation</w:t>
      </w:r>
      <w:r>
        <w:rPr>
          <w:rFonts w:ascii="Arial" w:hAnsi="Arial" w:cs="Arial"/>
          <w:b/>
          <w:i/>
          <w:color w:val="000000"/>
          <w:sz w:val="24"/>
          <w:szCs w:val="24"/>
          <w:bdr w:val="none" w:sz="0" w:space="0" w:color="auto" w:frame="1"/>
          <w:shd w:val="clear" w:color="auto" w:fill="FFFFFF"/>
        </w:rPr>
        <w:t>s</w:t>
      </w:r>
      <w:r w:rsidRPr="00DA7CF7">
        <w:rPr>
          <w:rFonts w:ascii="Arial" w:hAnsi="Arial" w:cs="Arial"/>
          <w:b/>
          <w:i/>
          <w:color w:val="000000"/>
          <w:sz w:val="24"/>
          <w:szCs w:val="24"/>
          <w:bdr w:val="none" w:sz="0" w:space="0" w:color="auto" w:frame="1"/>
          <w:shd w:val="clear" w:color="auto" w:fill="FFFFFF"/>
        </w:rPr>
        <w:t xml:space="preserve"> for </w:t>
      </w:r>
      <w:r>
        <w:rPr>
          <w:rFonts w:ascii="Arial" w:hAnsi="Arial" w:cs="Arial"/>
          <w:b/>
          <w:i/>
          <w:color w:val="000000"/>
          <w:sz w:val="24"/>
          <w:szCs w:val="24"/>
          <w:bdr w:val="none" w:sz="0" w:space="0" w:color="auto" w:frame="1"/>
          <w:shd w:val="clear" w:color="auto" w:fill="FFFFFF"/>
        </w:rPr>
        <w:t xml:space="preserve">any </w:t>
      </w:r>
      <w:r w:rsidRPr="00DA7CF7">
        <w:rPr>
          <w:rFonts w:ascii="Arial" w:hAnsi="Arial" w:cs="Arial"/>
          <w:b/>
          <w:i/>
          <w:color w:val="000000"/>
          <w:sz w:val="24"/>
          <w:szCs w:val="24"/>
          <w:bdr w:val="none" w:sz="0" w:space="0" w:color="auto" w:frame="1"/>
          <w:shd w:val="clear" w:color="auto" w:fill="FFFFFF"/>
        </w:rPr>
        <w:t>TRU’s visiting restaurants, retail locations,</w:t>
      </w:r>
      <w:r>
        <w:rPr>
          <w:rFonts w:ascii="Arial" w:hAnsi="Arial" w:cs="Arial"/>
          <w:b/>
          <w:i/>
          <w:color w:val="000000"/>
          <w:sz w:val="24"/>
          <w:szCs w:val="24"/>
          <w:bdr w:val="none" w:sz="0" w:space="0" w:color="auto" w:frame="1"/>
          <w:shd w:val="clear" w:color="auto" w:fill="FFFFFF"/>
        </w:rPr>
        <w:t xml:space="preserve"> and gas</w:t>
      </w:r>
      <w:r w:rsidRPr="00DA7CF7">
        <w:rPr>
          <w:rFonts w:ascii="Arial" w:hAnsi="Arial" w:cs="Arial"/>
          <w:b/>
          <w:i/>
          <w:color w:val="000000"/>
          <w:sz w:val="24"/>
          <w:szCs w:val="24"/>
          <w:bdr w:val="none" w:sz="0" w:space="0" w:color="auto" w:frame="1"/>
          <w:shd w:val="clear" w:color="auto" w:fill="FFFFFF"/>
        </w:rPr>
        <w:t xml:space="preserve"> stations within one mile of facility boundaries. </w:t>
      </w:r>
      <w:r>
        <w:rPr>
          <w:rFonts w:ascii="Arial" w:hAnsi="Arial" w:cs="Arial"/>
          <w:b/>
          <w:i/>
          <w:color w:val="000000"/>
          <w:sz w:val="24"/>
          <w:szCs w:val="24"/>
          <w:bdr w:val="none" w:sz="0" w:space="0" w:color="auto" w:frame="1"/>
          <w:shd w:val="clear" w:color="auto" w:fill="FFFFFF"/>
        </w:rPr>
        <w:t xml:space="preserve"> We have several facilities that sit within one mile of truck stops, restaurants, and gas stations.  </w:t>
      </w:r>
    </w:p>
    <w:p w:rsidR="005F57D5" w:rsidRPr="00E91709" w:rsidRDefault="005F57D5" w:rsidP="005F57D5">
      <w:pPr>
        <w:rPr>
          <w:rFonts w:ascii="Arial" w:hAnsi="Arial" w:cs="Arial"/>
          <w:color w:val="000000"/>
          <w:sz w:val="24"/>
          <w:szCs w:val="24"/>
          <w:bdr w:val="none" w:sz="0" w:space="0" w:color="auto" w:frame="1"/>
          <w:shd w:val="clear" w:color="auto" w:fill="FFFFFF"/>
        </w:rPr>
      </w:pPr>
    </w:p>
    <w:p w:rsidR="005F57D5" w:rsidRPr="00DA7CF7" w:rsidRDefault="005F57D5" w:rsidP="005F57D5">
      <w:pPr>
        <w:rPr>
          <w:rFonts w:ascii="Arial" w:hAnsi="Arial" w:cs="Arial"/>
          <w:b/>
          <w:i/>
          <w:color w:val="000000"/>
          <w:sz w:val="24"/>
          <w:szCs w:val="24"/>
          <w:bdr w:val="none" w:sz="0" w:space="0" w:color="auto" w:frame="1"/>
          <w:shd w:val="clear" w:color="auto" w:fill="FFFFFF"/>
        </w:rPr>
      </w:pPr>
      <w:r w:rsidRPr="00E91709">
        <w:rPr>
          <w:rFonts w:ascii="Arial" w:hAnsi="Arial" w:cs="Arial"/>
          <w:b/>
          <w:color w:val="000000"/>
          <w:sz w:val="24"/>
          <w:szCs w:val="24"/>
          <w:bdr w:val="none" w:sz="0" w:space="0" w:color="auto" w:frame="1"/>
          <w:shd w:val="clear" w:color="auto" w:fill="FFFFFF"/>
        </w:rPr>
        <w:t>Section 2478.11</w:t>
      </w:r>
      <w:r w:rsidRPr="00E91709">
        <w:rPr>
          <w:rFonts w:ascii="Arial" w:hAnsi="Arial" w:cs="Arial"/>
          <w:color w:val="000000"/>
          <w:sz w:val="24"/>
          <w:szCs w:val="24"/>
          <w:bdr w:val="none" w:sz="0" w:space="0" w:color="auto" w:frame="1"/>
          <w:shd w:val="clear" w:color="auto" w:fill="FFFFFF"/>
        </w:rPr>
        <w:t xml:space="preserve"> Establishes requirements for collection and transmission of the Electronic Telematics System (ETS).</w:t>
      </w:r>
      <w:r>
        <w:rPr>
          <w:rFonts w:ascii="Arial" w:hAnsi="Arial" w:cs="Arial"/>
          <w:color w:val="000000"/>
          <w:sz w:val="24"/>
          <w:szCs w:val="24"/>
          <w:bdr w:val="none" w:sz="0" w:space="0" w:color="auto" w:frame="1"/>
          <w:shd w:val="clear" w:color="auto" w:fill="FFFFFF"/>
        </w:rPr>
        <w:t xml:space="preserve"> </w:t>
      </w:r>
      <w:r w:rsidRPr="00DA7CF7">
        <w:rPr>
          <w:rFonts w:ascii="Arial" w:hAnsi="Arial" w:cs="Arial"/>
          <w:b/>
          <w:i/>
          <w:color w:val="000000"/>
          <w:sz w:val="24"/>
          <w:szCs w:val="24"/>
          <w:bdr w:val="none" w:sz="0" w:space="0" w:color="auto" w:frame="1"/>
          <w:shd w:val="clear" w:color="auto" w:fill="FFFFFF"/>
        </w:rPr>
        <w:t xml:space="preserve">Reporting of diesel or electric operational mode requires two-way communication. Transmitting data a minimum of once per minute increases data. These factors increase cost of compliance and limit available compliance options.   </w:t>
      </w:r>
    </w:p>
    <w:p w:rsidR="005F57D5" w:rsidRPr="00E91709" w:rsidRDefault="005F57D5" w:rsidP="005F57D5">
      <w:pPr>
        <w:rPr>
          <w:rFonts w:ascii="Arial" w:hAnsi="Arial" w:cs="Arial"/>
          <w:color w:val="000000"/>
          <w:sz w:val="24"/>
          <w:szCs w:val="24"/>
          <w:bdr w:val="none" w:sz="0" w:space="0" w:color="auto" w:frame="1"/>
          <w:shd w:val="clear" w:color="auto" w:fill="FFFFFF"/>
        </w:rPr>
      </w:pPr>
    </w:p>
    <w:p w:rsidR="005F57D5" w:rsidRPr="00DA7CF7" w:rsidRDefault="005F57D5" w:rsidP="005F57D5">
      <w:pPr>
        <w:rPr>
          <w:rFonts w:ascii="Arial" w:hAnsi="Arial" w:cs="Arial"/>
          <w:b/>
          <w:i/>
          <w:color w:val="000000"/>
          <w:sz w:val="24"/>
          <w:szCs w:val="24"/>
          <w:bdr w:val="none" w:sz="0" w:space="0" w:color="auto" w:frame="1"/>
          <w:shd w:val="clear" w:color="auto" w:fill="FFFFFF"/>
        </w:rPr>
      </w:pPr>
      <w:r w:rsidRPr="00E91709">
        <w:rPr>
          <w:rFonts w:ascii="Arial" w:hAnsi="Arial" w:cs="Arial"/>
          <w:b/>
          <w:color w:val="000000"/>
          <w:sz w:val="24"/>
          <w:szCs w:val="24"/>
          <w:bdr w:val="none" w:sz="0" w:space="0" w:color="auto" w:frame="1"/>
          <w:shd w:val="clear" w:color="auto" w:fill="FFFFFF"/>
        </w:rPr>
        <w:t>Section 2478.12</w:t>
      </w:r>
      <w:r w:rsidRPr="00E91709">
        <w:rPr>
          <w:rFonts w:ascii="Arial" w:hAnsi="Arial" w:cs="Arial"/>
          <w:color w:val="000000"/>
          <w:sz w:val="24"/>
          <w:szCs w:val="24"/>
          <w:bdr w:val="none" w:sz="0" w:space="0" w:color="auto" w:frame="1"/>
          <w:shd w:val="clear" w:color="auto" w:fill="FFFFFF"/>
        </w:rPr>
        <w:t xml:space="preserve"> Establishes </w:t>
      </w:r>
      <w:r>
        <w:rPr>
          <w:rFonts w:ascii="Arial" w:hAnsi="Arial" w:cs="Arial"/>
          <w:color w:val="000000"/>
          <w:sz w:val="24"/>
          <w:szCs w:val="24"/>
          <w:bdr w:val="none" w:sz="0" w:space="0" w:color="auto" w:frame="1"/>
          <w:shd w:val="clear" w:color="auto" w:fill="FFFFFF"/>
        </w:rPr>
        <w:t xml:space="preserve">bi-annual </w:t>
      </w:r>
      <w:r w:rsidRPr="00E91709">
        <w:rPr>
          <w:rFonts w:ascii="Arial" w:hAnsi="Arial" w:cs="Arial"/>
          <w:color w:val="000000"/>
          <w:sz w:val="24"/>
          <w:szCs w:val="24"/>
          <w:bdr w:val="none" w:sz="0" w:space="0" w:color="auto" w:frame="1"/>
          <w:shd w:val="clear" w:color="auto" w:fill="FFFFFF"/>
        </w:rPr>
        <w:t>registration requirement for TRU’s owned and operated in California</w:t>
      </w:r>
      <w:r>
        <w:rPr>
          <w:rFonts w:ascii="Arial" w:hAnsi="Arial" w:cs="Arial"/>
          <w:color w:val="000000"/>
          <w:sz w:val="24"/>
          <w:szCs w:val="24"/>
          <w:bdr w:val="none" w:sz="0" w:space="0" w:color="auto" w:frame="1"/>
          <w:shd w:val="clear" w:color="auto" w:fill="FFFFFF"/>
        </w:rPr>
        <w:t xml:space="preserve"> payable to CARB.</w:t>
      </w:r>
      <w:r w:rsidRPr="00E91709">
        <w:rPr>
          <w:rFonts w:ascii="Arial" w:hAnsi="Arial" w:cs="Arial"/>
          <w:color w:val="000000"/>
          <w:sz w:val="24"/>
          <w:szCs w:val="24"/>
          <w:bdr w:val="none" w:sz="0" w:space="0" w:color="auto" w:frame="1"/>
          <w:shd w:val="clear" w:color="auto" w:fill="FFFFFF"/>
        </w:rPr>
        <w:t xml:space="preserve"> </w:t>
      </w:r>
      <w:r w:rsidRPr="00DA7CF7">
        <w:rPr>
          <w:rFonts w:ascii="Arial" w:hAnsi="Arial" w:cs="Arial"/>
          <w:b/>
          <w:i/>
          <w:color w:val="000000"/>
          <w:sz w:val="24"/>
          <w:szCs w:val="24"/>
          <w:bdr w:val="none" w:sz="0" w:space="0" w:color="auto" w:frame="1"/>
          <w:shd w:val="clear" w:color="auto" w:fill="FFFFFF"/>
        </w:rPr>
        <w:t>Registration requirement is effective December 31, 2021 creating another competitive disadvantage for California based companies. Compe</w:t>
      </w:r>
      <w:r>
        <w:rPr>
          <w:rFonts w:ascii="Arial" w:hAnsi="Arial" w:cs="Arial"/>
          <w:b/>
          <w:i/>
          <w:color w:val="000000"/>
          <w:sz w:val="24"/>
          <w:szCs w:val="24"/>
          <w:bdr w:val="none" w:sz="0" w:space="0" w:color="auto" w:frame="1"/>
          <w:shd w:val="clear" w:color="auto" w:fill="FFFFFF"/>
        </w:rPr>
        <w:t>titors based outside of CA would only be required to</w:t>
      </w:r>
      <w:r w:rsidRPr="00DA7CF7">
        <w:rPr>
          <w:rFonts w:ascii="Arial" w:hAnsi="Arial" w:cs="Arial"/>
          <w:b/>
          <w:i/>
          <w:color w:val="000000"/>
          <w:sz w:val="24"/>
          <w:szCs w:val="24"/>
          <w:bdr w:val="none" w:sz="0" w:space="0" w:color="auto" w:frame="1"/>
          <w:shd w:val="clear" w:color="auto" w:fill="FFFFFF"/>
        </w:rPr>
        <w:t xml:space="preserve"> register the portion of their equipment operating in California.  </w:t>
      </w:r>
    </w:p>
    <w:p w:rsidR="005F57D5" w:rsidRPr="00E91709" w:rsidRDefault="005F57D5" w:rsidP="005F57D5">
      <w:pPr>
        <w:rPr>
          <w:rFonts w:ascii="Arial" w:hAnsi="Arial" w:cs="Arial"/>
          <w:color w:val="000000"/>
          <w:sz w:val="24"/>
          <w:szCs w:val="24"/>
          <w:bdr w:val="none" w:sz="0" w:space="0" w:color="auto" w:frame="1"/>
          <w:shd w:val="clear" w:color="auto" w:fill="FFFFFF"/>
        </w:rPr>
      </w:pPr>
    </w:p>
    <w:p w:rsidR="005F57D5" w:rsidRPr="00E91709" w:rsidRDefault="005F57D5" w:rsidP="005F57D5">
      <w:pPr>
        <w:rPr>
          <w:rFonts w:ascii="Arial" w:hAnsi="Arial" w:cs="Arial"/>
          <w:b/>
          <w:color w:val="000000"/>
          <w:sz w:val="24"/>
          <w:szCs w:val="24"/>
          <w:bdr w:val="none" w:sz="0" w:space="0" w:color="auto" w:frame="1"/>
          <w:shd w:val="clear" w:color="auto" w:fill="FFFFFF"/>
        </w:rPr>
      </w:pPr>
      <w:r w:rsidRPr="00E91709">
        <w:rPr>
          <w:rFonts w:ascii="Arial" w:hAnsi="Arial" w:cs="Arial"/>
          <w:b/>
          <w:color w:val="000000"/>
          <w:sz w:val="24"/>
          <w:szCs w:val="24"/>
          <w:bdr w:val="none" w:sz="0" w:space="0" w:color="auto" w:frame="1"/>
          <w:shd w:val="clear" w:color="auto" w:fill="FFFFFF"/>
        </w:rPr>
        <w:t>Section 2478.13</w:t>
      </w:r>
      <w:r w:rsidRPr="00E91709">
        <w:rPr>
          <w:rFonts w:ascii="Arial" w:hAnsi="Arial" w:cs="Arial"/>
          <w:color w:val="000000"/>
          <w:sz w:val="24"/>
          <w:szCs w:val="24"/>
          <w:bdr w:val="none" w:sz="0" w:space="0" w:color="auto" w:frame="1"/>
          <w:shd w:val="clear" w:color="auto" w:fill="FFFFFF"/>
        </w:rPr>
        <w:t xml:space="preserve"> Requires applicable facilities register with CARB, provide geofence coordinates, pay registration fees, establishes reporting requirements, and requires facility owners to declare non-compliant TRU’s will not operate within the facility geofence under penalty of perjury. </w:t>
      </w:r>
      <w:r w:rsidRPr="00DA7CF7">
        <w:rPr>
          <w:rFonts w:ascii="Arial" w:hAnsi="Arial" w:cs="Arial"/>
          <w:b/>
          <w:i/>
          <w:color w:val="000000"/>
          <w:sz w:val="24"/>
          <w:szCs w:val="24"/>
          <w:bdr w:val="none" w:sz="0" w:space="0" w:color="auto" w:frame="1"/>
          <w:shd w:val="clear" w:color="auto" w:fill="FFFFFF"/>
        </w:rPr>
        <w:t xml:space="preserve">Under proposed regulation facility owners are required to </w:t>
      </w:r>
      <w:r>
        <w:rPr>
          <w:rFonts w:ascii="Arial" w:hAnsi="Arial" w:cs="Arial"/>
          <w:b/>
          <w:i/>
          <w:color w:val="000000"/>
          <w:sz w:val="24"/>
          <w:szCs w:val="24"/>
          <w:bdr w:val="none" w:sz="0" w:space="0" w:color="auto" w:frame="1"/>
          <w:shd w:val="clear" w:color="auto" w:fill="FFFFFF"/>
        </w:rPr>
        <w:t xml:space="preserve">collect and report all TRU’s entering applicable facilities. </w:t>
      </w:r>
      <w:r w:rsidRPr="00DA7CF7">
        <w:rPr>
          <w:rFonts w:ascii="Arial" w:hAnsi="Arial" w:cs="Arial"/>
          <w:b/>
          <w:i/>
          <w:color w:val="000000"/>
          <w:sz w:val="24"/>
          <w:szCs w:val="24"/>
          <w:bdr w:val="none" w:sz="0" w:space="0" w:color="auto" w:frame="1"/>
          <w:shd w:val="clear" w:color="auto" w:fill="FFFFFF"/>
        </w:rPr>
        <w:t>The additional fees and staffing requirements increase cost and competitive disadvantage.</w:t>
      </w:r>
      <w:r w:rsidRPr="00E91709">
        <w:rPr>
          <w:rFonts w:ascii="Arial" w:hAnsi="Arial" w:cs="Arial"/>
          <w:color w:val="000000"/>
          <w:sz w:val="24"/>
          <w:szCs w:val="24"/>
          <w:bdr w:val="none" w:sz="0" w:space="0" w:color="auto" w:frame="1"/>
          <w:shd w:val="clear" w:color="auto" w:fill="FFFFFF"/>
        </w:rPr>
        <w:t xml:space="preserve">          </w:t>
      </w:r>
    </w:p>
    <w:p w:rsidR="005F57D5" w:rsidRPr="00E91709" w:rsidRDefault="005F57D5" w:rsidP="005F57D5">
      <w:pPr>
        <w:rPr>
          <w:rFonts w:ascii="Arial" w:hAnsi="Arial" w:cs="Arial"/>
          <w:color w:val="000000"/>
          <w:sz w:val="24"/>
          <w:szCs w:val="24"/>
          <w:bdr w:val="none" w:sz="0" w:space="0" w:color="auto" w:frame="1"/>
          <w:shd w:val="clear" w:color="auto" w:fill="FFFFFF"/>
        </w:rPr>
      </w:pPr>
    </w:p>
    <w:p w:rsidR="005F57D5" w:rsidRDefault="005F57D5" w:rsidP="005F57D5">
      <w:pPr>
        <w:rPr>
          <w:rFonts w:ascii="Arial" w:hAnsi="Arial" w:cs="Arial"/>
          <w:b/>
          <w:i/>
          <w:color w:val="000000"/>
          <w:sz w:val="24"/>
          <w:szCs w:val="24"/>
          <w:bdr w:val="none" w:sz="0" w:space="0" w:color="auto" w:frame="1"/>
          <w:shd w:val="clear" w:color="auto" w:fill="FFFFFF"/>
        </w:rPr>
      </w:pPr>
      <w:r w:rsidRPr="00E91709">
        <w:rPr>
          <w:rFonts w:ascii="Arial" w:hAnsi="Arial" w:cs="Arial"/>
          <w:b/>
          <w:color w:val="000000"/>
          <w:sz w:val="24"/>
          <w:szCs w:val="24"/>
          <w:bdr w:val="none" w:sz="0" w:space="0" w:color="auto" w:frame="1"/>
          <w:shd w:val="clear" w:color="auto" w:fill="FFFFFF"/>
        </w:rPr>
        <w:t>Section 2478.14</w:t>
      </w:r>
      <w:r w:rsidRPr="00E91709">
        <w:rPr>
          <w:rFonts w:ascii="Arial" w:hAnsi="Arial" w:cs="Arial"/>
          <w:color w:val="000000"/>
          <w:sz w:val="24"/>
          <w:szCs w:val="24"/>
          <w:bdr w:val="none" w:sz="0" w:space="0" w:color="auto" w:frame="1"/>
          <w:shd w:val="clear" w:color="auto" w:fill="FFFFFF"/>
        </w:rPr>
        <w:t xml:space="preserve"> Establishes applicable facility timelines for both SOTL compliance plan submission and implementation. Compliance plan submission is required by December 31, 2022.  Applicable facility plan must include the daily average and daily maximum number of trailer and gen set TRU’s operating within facility boundaries for the prior year. The proposed further provides fully compliant infrastructure must be operational by </w:t>
      </w:r>
      <w:r>
        <w:rPr>
          <w:rFonts w:ascii="Arial" w:hAnsi="Arial" w:cs="Arial"/>
          <w:color w:val="000000"/>
          <w:sz w:val="24"/>
          <w:szCs w:val="24"/>
          <w:bdr w:val="none" w:sz="0" w:space="0" w:color="auto" w:frame="1"/>
          <w:shd w:val="clear" w:color="auto" w:fill="FFFFFF"/>
        </w:rPr>
        <w:t xml:space="preserve">December 31, 2023. </w:t>
      </w:r>
      <w:r w:rsidRPr="00DA7CF7">
        <w:rPr>
          <w:rFonts w:ascii="Arial" w:hAnsi="Arial" w:cs="Arial"/>
          <w:b/>
          <w:i/>
          <w:color w:val="000000"/>
          <w:sz w:val="24"/>
          <w:szCs w:val="24"/>
          <w:bdr w:val="none" w:sz="0" w:space="0" w:color="auto" w:frame="1"/>
          <w:shd w:val="clear" w:color="auto" w:fill="FFFFFF"/>
        </w:rPr>
        <w:t xml:space="preserve">Developing and submitting a SOTL compliance plan by 2022 is aggressive. </w:t>
      </w:r>
      <w:r>
        <w:rPr>
          <w:rFonts w:ascii="Arial" w:hAnsi="Arial" w:cs="Arial"/>
          <w:b/>
          <w:i/>
          <w:color w:val="000000"/>
          <w:sz w:val="24"/>
          <w:szCs w:val="24"/>
          <w:bdr w:val="none" w:sz="0" w:space="0" w:color="auto" w:frame="1"/>
          <w:shd w:val="clear" w:color="auto" w:fill="FFFFFF"/>
        </w:rPr>
        <w:t>As stated above having all applicable facilities completed with both dock electrification and yard infrastructure is a very aggressive timeline.</w:t>
      </w:r>
    </w:p>
    <w:p w:rsidR="005F57D5" w:rsidRDefault="005F57D5" w:rsidP="005F57D5">
      <w:pPr>
        <w:rPr>
          <w:rFonts w:ascii="Arial" w:hAnsi="Arial" w:cs="Arial"/>
          <w:b/>
          <w:i/>
          <w:color w:val="000000"/>
          <w:sz w:val="24"/>
          <w:szCs w:val="24"/>
          <w:bdr w:val="none" w:sz="0" w:space="0" w:color="auto" w:frame="1"/>
          <w:shd w:val="clear" w:color="auto" w:fill="FFFFFF"/>
        </w:rPr>
      </w:pPr>
    </w:p>
    <w:p w:rsidR="005F57D5" w:rsidRDefault="005F57D5" w:rsidP="005F57D5">
      <w:pPr>
        <w:rPr>
          <w:rFonts w:ascii="Arial" w:hAnsi="Arial" w:cs="Arial"/>
          <w:color w:val="000000"/>
          <w:sz w:val="24"/>
          <w:szCs w:val="24"/>
          <w:bdr w:val="none" w:sz="0" w:space="0" w:color="auto" w:frame="1"/>
          <w:shd w:val="clear" w:color="auto" w:fill="FFFFFF"/>
        </w:rPr>
      </w:pPr>
      <w:r>
        <w:rPr>
          <w:rFonts w:ascii="Arial" w:hAnsi="Arial" w:cs="Arial"/>
          <w:color w:val="000000"/>
          <w:sz w:val="24"/>
          <w:szCs w:val="24"/>
          <w:bdr w:val="none" w:sz="0" w:space="0" w:color="auto" w:frame="1"/>
          <w:shd w:val="clear" w:color="auto" w:fill="FFFFFF"/>
        </w:rPr>
        <w:t>In closing, Foster Farms is committed to improving the air quality in the State of California and the communities we reside in.  We ask that you consider our comments, along with the timing and the economic impact of businesses within California when developing the final regulation.</w:t>
      </w:r>
    </w:p>
    <w:p w:rsidR="005F57D5" w:rsidRDefault="005F57D5" w:rsidP="005F57D5">
      <w:pPr>
        <w:rPr>
          <w:rFonts w:ascii="Arial" w:hAnsi="Arial" w:cs="Arial"/>
          <w:color w:val="000000"/>
          <w:sz w:val="24"/>
          <w:szCs w:val="24"/>
          <w:bdr w:val="none" w:sz="0" w:space="0" w:color="auto" w:frame="1"/>
          <w:shd w:val="clear" w:color="auto" w:fill="FFFFFF"/>
        </w:rPr>
      </w:pPr>
    </w:p>
    <w:p w:rsidR="005F57D5" w:rsidRDefault="005F57D5" w:rsidP="005F57D5">
      <w:pPr>
        <w:rPr>
          <w:rFonts w:ascii="Arial" w:hAnsi="Arial" w:cs="Arial"/>
          <w:color w:val="000000"/>
          <w:sz w:val="24"/>
          <w:szCs w:val="24"/>
          <w:bdr w:val="none" w:sz="0" w:space="0" w:color="auto" w:frame="1"/>
          <w:shd w:val="clear" w:color="auto" w:fill="FFFFFF"/>
        </w:rPr>
      </w:pPr>
      <w:r>
        <w:rPr>
          <w:rFonts w:ascii="Arial" w:hAnsi="Arial" w:cs="Arial"/>
          <w:color w:val="000000"/>
          <w:sz w:val="24"/>
          <w:szCs w:val="24"/>
          <w:bdr w:val="none" w:sz="0" w:space="0" w:color="auto" w:frame="1"/>
          <w:shd w:val="clear" w:color="auto" w:fill="FFFFFF"/>
        </w:rPr>
        <w:t>Sincerely.</w:t>
      </w:r>
    </w:p>
    <w:p w:rsidR="005F57D5" w:rsidRDefault="005F57D5" w:rsidP="005F57D5">
      <w:pPr>
        <w:rPr>
          <w:rFonts w:ascii="Arial" w:hAnsi="Arial" w:cs="Arial"/>
          <w:color w:val="000000"/>
          <w:sz w:val="24"/>
          <w:szCs w:val="24"/>
          <w:bdr w:val="none" w:sz="0" w:space="0" w:color="auto" w:frame="1"/>
          <w:shd w:val="clear" w:color="auto" w:fill="FFFFFF"/>
        </w:rPr>
      </w:pPr>
    </w:p>
    <w:p w:rsidR="005F57D5" w:rsidRDefault="005F57D5" w:rsidP="005F57D5">
      <w:pPr>
        <w:rPr>
          <w:rFonts w:ascii="Arial" w:hAnsi="Arial" w:cs="Arial"/>
          <w:color w:val="000000"/>
          <w:sz w:val="24"/>
          <w:szCs w:val="24"/>
          <w:bdr w:val="none" w:sz="0" w:space="0" w:color="auto" w:frame="1"/>
          <w:shd w:val="clear" w:color="auto" w:fill="FFFFFF"/>
        </w:rPr>
      </w:pPr>
    </w:p>
    <w:p w:rsidR="005F57D5" w:rsidRDefault="005F57D5" w:rsidP="005F57D5">
      <w:pPr>
        <w:rPr>
          <w:rFonts w:ascii="Arial" w:hAnsi="Arial" w:cs="Arial"/>
          <w:color w:val="000000"/>
          <w:sz w:val="24"/>
          <w:szCs w:val="24"/>
          <w:bdr w:val="none" w:sz="0" w:space="0" w:color="auto" w:frame="1"/>
          <w:shd w:val="clear" w:color="auto" w:fill="FFFFFF"/>
        </w:rPr>
      </w:pPr>
    </w:p>
    <w:p w:rsidR="005F57D5" w:rsidRDefault="005F57D5" w:rsidP="005F57D5">
      <w:pPr>
        <w:rPr>
          <w:rFonts w:ascii="Arial" w:hAnsi="Arial" w:cs="Arial"/>
          <w:color w:val="000000"/>
          <w:sz w:val="24"/>
          <w:szCs w:val="24"/>
          <w:bdr w:val="none" w:sz="0" w:space="0" w:color="auto" w:frame="1"/>
          <w:shd w:val="clear" w:color="auto" w:fill="FFFFFF"/>
        </w:rPr>
      </w:pPr>
    </w:p>
    <w:p w:rsidR="005F57D5" w:rsidRDefault="005F57D5" w:rsidP="005F57D5">
      <w:pPr>
        <w:rPr>
          <w:rFonts w:ascii="Arial" w:hAnsi="Arial" w:cs="Arial"/>
          <w:color w:val="000000"/>
          <w:sz w:val="24"/>
          <w:szCs w:val="24"/>
          <w:bdr w:val="none" w:sz="0" w:space="0" w:color="auto" w:frame="1"/>
          <w:shd w:val="clear" w:color="auto" w:fill="FFFFFF"/>
        </w:rPr>
      </w:pPr>
      <w:r>
        <w:rPr>
          <w:rFonts w:ascii="Arial" w:hAnsi="Arial" w:cs="Arial"/>
          <w:color w:val="000000"/>
          <w:sz w:val="24"/>
          <w:szCs w:val="24"/>
          <w:bdr w:val="none" w:sz="0" w:space="0" w:color="auto" w:frame="1"/>
          <w:shd w:val="clear" w:color="auto" w:fill="FFFFFF"/>
        </w:rPr>
        <w:t>Tom Bower</w:t>
      </w:r>
    </w:p>
    <w:p w:rsidR="005F57D5" w:rsidRPr="0016758D" w:rsidRDefault="005F57D5" w:rsidP="005F57D5">
      <w:pPr>
        <w:rPr>
          <w:rFonts w:ascii="Arial" w:hAnsi="Arial" w:cs="Arial"/>
          <w:color w:val="000000"/>
          <w:sz w:val="24"/>
          <w:szCs w:val="24"/>
          <w:bdr w:val="none" w:sz="0" w:space="0" w:color="auto" w:frame="1"/>
          <w:shd w:val="clear" w:color="auto" w:fill="FFFFFF"/>
        </w:rPr>
      </w:pPr>
      <w:r>
        <w:rPr>
          <w:rFonts w:ascii="Arial" w:hAnsi="Arial" w:cs="Arial"/>
          <w:color w:val="000000"/>
          <w:sz w:val="24"/>
          <w:szCs w:val="24"/>
          <w:bdr w:val="none" w:sz="0" w:space="0" w:color="auto" w:frame="1"/>
          <w:shd w:val="clear" w:color="auto" w:fill="FFFFFF"/>
        </w:rPr>
        <w:t>Senior Vice President-Supply Chain</w:t>
      </w:r>
    </w:p>
    <w:p w:rsidR="005F57D5" w:rsidRPr="00E91709" w:rsidRDefault="005F57D5" w:rsidP="005F57D5">
      <w:pPr>
        <w:rPr>
          <w:rFonts w:ascii="Arial" w:hAnsi="Arial" w:cs="Arial"/>
          <w:color w:val="000000"/>
          <w:sz w:val="24"/>
          <w:szCs w:val="24"/>
          <w:bdr w:val="none" w:sz="0" w:space="0" w:color="auto" w:frame="1"/>
          <w:shd w:val="clear" w:color="auto" w:fill="FFFFFF"/>
        </w:rPr>
      </w:pPr>
    </w:p>
    <w:p w:rsidR="005F57D5" w:rsidRPr="00E91709" w:rsidRDefault="005F57D5" w:rsidP="005F57D5">
      <w:pPr>
        <w:rPr>
          <w:rFonts w:ascii="Arial" w:hAnsi="Arial" w:cs="Arial"/>
          <w:color w:val="000000"/>
          <w:sz w:val="24"/>
          <w:szCs w:val="24"/>
          <w:bdr w:val="none" w:sz="0" w:space="0" w:color="auto" w:frame="1"/>
          <w:shd w:val="clear" w:color="auto" w:fill="FFFFFF"/>
        </w:rPr>
      </w:pPr>
    </w:p>
    <w:sectPr w:rsidR="005F57D5" w:rsidRPr="00E91709" w:rsidSect="00882B93">
      <w:headerReference w:type="first" r:id="rId8"/>
      <w:pgSz w:w="12240" w:h="15840" w:code="1"/>
      <w:pgMar w:top="1008" w:right="1440" w:bottom="965"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4CF" w:rsidRDefault="005624CF">
      <w:r>
        <w:separator/>
      </w:r>
    </w:p>
  </w:endnote>
  <w:endnote w:type="continuationSeparator" w:id="0">
    <w:p w:rsidR="005624CF" w:rsidRDefault="0056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Gotham Book">
    <w:altName w:val="Times New Roman"/>
    <w:charset w:val="00"/>
    <w:family w:val="auto"/>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4CF" w:rsidRDefault="005624CF">
      <w:r>
        <w:separator/>
      </w:r>
    </w:p>
  </w:footnote>
  <w:footnote w:type="continuationSeparator" w:id="0">
    <w:p w:rsidR="005624CF" w:rsidRDefault="00562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7190" w:type="dxa"/>
      <w:tblInd w:w="-1332" w:type="dxa"/>
      <w:tblBorders>
        <w:insideH w:val="single" w:sz="6" w:space="0" w:color="auto"/>
        <w:insideV w:val="single" w:sz="6" w:space="0" w:color="auto"/>
      </w:tblBorders>
      <w:tblLayout w:type="fixed"/>
      <w:tblLook w:val="0000" w:firstRow="0" w:lastRow="0" w:firstColumn="0" w:lastColumn="0" w:noHBand="0" w:noVBand="0"/>
    </w:tblPr>
    <w:tblGrid>
      <w:gridCol w:w="12330"/>
      <w:gridCol w:w="4860"/>
    </w:tblGrid>
    <w:tr w:rsidR="00023A6C" w:rsidTr="00E46C0B">
      <w:tc>
        <w:tcPr>
          <w:tcW w:w="12330" w:type="dxa"/>
          <w:tcBorders>
            <w:top w:val="nil"/>
            <w:bottom w:val="nil"/>
            <w:right w:val="nil"/>
          </w:tcBorders>
        </w:tcPr>
        <w:p w:rsidR="00023A6C" w:rsidRDefault="005F57D5" w:rsidP="00E46C0B">
          <w:pPr>
            <w:pStyle w:val="Header"/>
            <w:tabs>
              <w:tab w:val="clear" w:pos="4320"/>
              <w:tab w:val="left" w:pos="1332"/>
              <w:tab w:val="center" w:pos="5544"/>
            </w:tabs>
            <w:ind w:left="1224" w:right="-1548" w:hanging="162"/>
            <w:rPr>
              <w:rFonts w:ascii="Arial" w:hAnsi="Arial"/>
              <w:sz w:val="14"/>
            </w:rPr>
          </w:pPr>
          <w:r>
            <w:rPr>
              <w:rFonts w:ascii="Arial" w:hAnsi="Arial"/>
              <w:noProof/>
              <w:sz w:val="18"/>
            </w:rPr>
            <mc:AlternateContent>
              <mc:Choice Requires="wps">
                <w:drawing>
                  <wp:anchor distT="0" distB="0" distL="114300" distR="114300" simplePos="0" relativeHeight="251659264" behindDoc="0" locked="0" layoutInCell="1" allowOverlap="1">
                    <wp:simplePos x="0" y="0"/>
                    <wp:positionH relativeFrom="column">
                      <wp:posOffset>2433320</wp:posOffset>
                    </wp:positionH>
                    <wp:positionV relativeFrom="paragraph">
                      <wp:posOffset>297180</wp:posOffset>
                    </wp:positionV>
                    <wp:extent cx="25400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6858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8" w:type="dxa"/>
                                  <w:tblBorders>
                                    <w:insideH w:val="single" w:sz="6" w:space="0" w:color="auto"/>
                                    <w:insideV w:val="single" w:sz="6" w:space="0" w:color="auto"/>
                                  </w:tblBorders>
                                  <w:tblLayout w:type="fixed"/>
                                  <w:tblLook w:val="0000" w:firstRow="0" w:lastRow="0" w:firstColumn="0" w:lastColumn="0" w:noHBand="0" w:noVBand="0"/>
                                </w:tblPr>
                                <w:tblGrid>
                                  <w:gridCol w:w="4680"/>
                                  <w:gridCol w:w="4860"/>
                                </w:tblGrid>
                                <w:tr w:rsidR="00023A6C" w:rsidRPr="00D95C4C" w:rsidTr="00F46C8C">
                                  <w:tc>
                                    <w:tcPr>
                                      <w:tcW w:w="4680" w:type="dxa"/>
                                      <w:tcBorders>
                                        <w:top w:val="nil"/>
                                        <w:bottom w:val="nil"/>
                                        <w:right w:val="nil"/>
                                      </w:tcBorders>
                                    </w:tcPr>
                                    <w:p w:rsidR="00023A6C" w:rsidRPr="00D95C4C" w:rsidRDefault="00023A6C" w:rsidP="00F46C8C">
                                      <w:pPr>
                                        <w:pStyle w:val="Header"/>
                                        <w:rPr>
                                          <w:rFonts w:ascii="Gotham Book" w:hAnsi="Gotham Book"/>
                                          <w:sz w:val="18"/>
                                        </w:rPr>
                                      </w:pPr>
                                      <w:r w:rsidRPr="00D95C4C">
                                        <w:rPr>
                                          <w:rFonts w:ascii="Gotham Book" w:hAnsi="Gotham Book"/>
                                          <w:sz w:val="18"/>
                                        </w:rPr>
                                        <w:t>Fos</w:t>
                                      </w:r>
                                      <w:r w:rsidR="00D95C4C" w:rsidRPr="00D95C4C">
                                        <w:rPr>
                                          <w:rFonts w:ascii="Gotham Book" w:hAnsi="Gotham Book"/>
                                          <w:sz w:val="18"/>
                                        </w:rPr>
                                        <w:t>ter Farms</w:t>
                                      </w:r>
                                    </w:p>
                                    <w:p w:rsidR="00023A6C" w:rsidRPr="00D95C4C" w:rsidRDefault="00F219F0" w:rsidP="00F46C8C">
                                      <w:pPr>
                                        <w:pStyle w:val="Header"/>
                                        <w:rPr>
                                          <w:rFonts w:ascii="Gotham Book" w:hAnsi="Gotham Book"/>
                                          <w:sz w:val="18"/>
                                        </w:rPr>
                                      </w:pPr>
                                      <w:r>
                                        <w:rPr>
                                          <w:rFonts w:ascii="Gotham Book" w:hAnsi="Gotham Book"/>
                                          <w:sz w:val="18"/>
                                        </w:rPr>
                                        <w:t>1000 Davis Street</w:t>
                                      </w:r>
                                    </w:p>
                                    <w:p w:rsidR="00023A6C" w:rsidRPr="00D95C4C" w:rsidRDefault="0015776B" w:rsidP="00F46C8C">
                                      <w:pPr>
                                        <w:pStyle w:val="Header"/>
                                        <w:rPr>
                                          <w:rFonts w:ascii="Gotham Book" w:hAnsi="Gotham Book"/>
                                          <w:sz w:val="18"/>
                                        </w:rPr>
                                      </w:pPr>
                                      <w:r>
                                        <w:rPr>
                                          <w:rFonts w:ascii="Gotham Book" w:hAnsi="Gotham Book"/>
                                          <w:sz w:val="18"/>
                                        </w:rPr>
                                        <w:t>P.O.  Box 457</w:t>
                                      </w:r>
                                    </w:p>
                                    <w:p w:rsidR="00023A6C" w:rsidRPr="00D95C4C" w:rsidRDefault="00023A6C" w:rsidP="00F46C8C">
                                      <w:pPr>
                                        <w:pStyle w:val="Header"/>
                                        <w:rPr>
                                          <w:rFonts w:ascii="Gotham Book" w:hAnsi="Gotham Book"/>
                                          <w:sz w:val="14"/>
                                        </w:rPr>
                                      </w:pPr>
                                      <w:r w:rsidRPr="00D95C4C">
                                        <w:rPr>
                                          <w:rFonts w:ascii="Gotham Book" w:hAnsi="Gotham Book"/>
                                          <w:sz w:val="18"/>
                                        </w:rPr>
                                        <w:t>Livingston, CA  95334</w:t>
                                      </w:r>
                                    </w:p>
                                  </w:tc>
                                  <w:tc>
                                    <w:tcPr>
                                      <w:tcW w:w="4860" w:type="dxa"/>
                                      <w:tcBorders>
                                        <w:left w:val="nil"/>
                                      </w:tcBorders>
                                    </w:tcPr>
                                    <w:p w:rsidR="00023A6C" w:rsidRPr="00D95C4C" w:rsidRDefault="00023A6C" w:rsidP="00F46C8C">
                                      <w:pPr>
                                        <w:pStyle w:val="Header"/>
                                        <w:jc w:val="right"/>
                                        <w:rPr>
                                          <w:rFonts w:ascii="Gotham Book" w:hAnsi="Gotham Book"/>
                                        </w:rPr>
                                      </w:pPr>
                                    </w:p>
                                  </w:tc>
                                </w:tr>
                              </w:tbl>
                              <w:p w:rsidR="00023A6C" w:rsidRPr="00D95C4C" w:rsidRDefault="00023A6C" w:rsidP="005C2DF6">
                                <w:pPr>
                                  <w:pStyle w:val="Header"/>
                                  <w:rPr>
                                    <w:rFonts w:ascii="Gotham Book" w:hAnsi="Gotham Book"/>
                                  </w:rPr>
                                </w:pPr>
                              </w:p>
                              <w:p w:rsidR="00023A6C" w:rsidRPr="00D95C4C" w:rsidRDefault="00023A6C">
                                <w:pPr>
                                  <w:rPr>
                                    <w:rFonts w:ascii="Gotham Book" w:hAnsi="Gotham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1.6pt;margin-top:23.4pt;width:20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" filled="f" stroked="f">
                    <v:path arrowok="t"/>
                    <v:textbox>
                      <w:txbxContent>
                        <w:tbl>
                          <w:tblPr>
                            <w:tblW w:w="0" w:type="auto"/>
                            <w:tblInd w:w="18" w:type="dxa"/>
                            <w:tblBorders>
                              <w:insideH w:val="single" w:sz="6" w:space="0" w:color="auto"/>
                              <w:insideV w:val="single" w:sz="6" w:space="0" w:color="auto"/>
                            </w:tblBorders>
                            <w:tblLayout w:type="fixed"/>
                            <w:tblLook w:val="0000" w:firstRow="0" w:lastRow="0" w:firstColumn="0" w:lastColumn="0" w:noHBand="0" w:noVBand="0"/>
                          </w:tblPr>
                          <w:tblGrid>
                            <w:gridCol w:w="4680"/>
                            <w:gridCol w:w="4860"/>
                          </w:tblGrid>
                          <w:tr w:rsidR="00023A6C" w:rsidRPr="00D95C4C" w:rsidTr="00F46C8C">
                            <w:tc>
                              <w:tcPr>
                                <w:tcW w:w="4680" w:type="dxa"/>
                                <w:tcBorders>
                                  <w:top w:val="nil"/>
                                  <w:bottom w:val="nil"/>
                                  <w:right w:val="nil"/>
                                </w:tcBorders>
                              </w:tcPr>
                              <w:p w:rsidR="00023A6C" w:rsidRPr="00D95C4C" w:rsidRDefault="00023A6C" w:rsidP="00F46C8C">
                                <w:pPr>
                                  <w:pStyle w:val="Header"/>
                                  <w:rPr>
                                    <w:rFonts w:ascii="Gotham Book" w:hAnsi="Gotham Book"/>
                                    <w:sz w:val="18"/>
                                  </w:rPr>
                                </w:pPr>
                                <w:r w:rsidRPr="00D95C4C">
                                  <w:rPr>
                                    <w:rFonts w:ascii="Gotham Book" w:hAnsi="Gotham Book"/>
                                    <w:sz w:val="18"/>
                                  </w:rPr>
                                  <w:t>Fos</w:t>
                                </w:r>
                                <w:r w:rsidR="00D95C4C" w:rsidRPr="00D95C4C">
                                  <w:rPr>
                                    <w:rFonts w:ascii="Gotham Book" w:hAnsi="Gotham Book"/>
                                    <w:sz w:val="18"/>
                                  </w:rPr>
                                  <w:t>ter Farms</w:t>
                                </w:r>
                              </w:p>
                              <w:p w:rsidR="00023A6C" w:rsidRPr="00D95C4C" w:rsidRDefault="00F219F0" w:rsidP="00F46C8C">
                                <w:pPr>
                                  <w:pStyle w:val="Header"/>
                                  <w:rPr>
                                    <w:rFonts w:ascii="Gotham Book" w:hAnsi="Gotham Book"/>
                                    <w:sz w:val="18"/>
                                  </w:rPr>
                                </w:pPr>
                                <w:r>
                                  <w:rPr>
                                    <w:rFonts w:ascii="Gotham Book" w:hAnsi="Gotham Book"/>
                                    <w:sz w:val="18"/>
                                  </w:rPr>
                                  <w:t>1000 Davis Street</w:t>
                                </w:r>
                              </w:p>
                              <w:p w:rsidR="00023A6C" w:rsidRPr="00D95C4C" w:rsidRDefault="0015776B" w:rsidP="00F46C8C">
                                <w:pPr>
                                  <w:pStyle w:val="Header"/>
                                  <w:rPr>
                                    <w:rFonts w:ascii="Gotham Book" w:hAnsi="Gotham Book"/>
                                    <w:sz w:val="18"/>
                                  </w:rPr>
                                </w:pPr>
                                <w:r>
                                  <w:rPr>
                                    <w:rFonts w:ascii="Gotham Book" w:hAnsi="Gotham Book"/>
                                    <w:sz w:val="18"/>
                                  </w:rPr>
                                  <w:t>P.O.  Box 457</w:t>
                                </w:r>
                              </w:p>
                              <w:p w:rsidR="00023A6C" w:rsidRPr="00D95C4C" w:rsidRDefault="00023A6C" w:rsidP="00F46C8C">
                                <w:pPr>
                                  <w:pStyle w:val="Header"/>
                                  <w:rPr>
                                    <w:rFonts w:ascii="Gotham Book" w:hAnsi="Gotham Book"/>
                                    <w:sz w:val="14"/>
                                  </w:rPr>
                                </w:pPr>
                                <w:r w:rsidRPr="00D95C4C">
                                  <w:rPr>
                                    <w:rFonts w:ascii="Gotham Book" w:hAnsi="Gotham Book"/>
                                    <w:sz w:val="18"/>
                                  </w:rPr>
                                  <w:t>Livingston, CA  95334</w:t>
                                </w:r>
                              </w:p>
                            </w:tc>
                            <w:tc>
                              <w:tcPr>
                                <w:tcW w:w="4860" w:type="dxa"/>
                                <w:tcBorders>
                                  <w:left w:val="nil"/>
                                </w:tcBorders>
                              </w:tcPr>
                              <w:p w:rsidR="00023A6C" w:rsidRPr="00D95C4C" w:rsidRDefault="00023A6C" w:rsidP="00F46C8C">
                                <w:pPr>
                                  <w:pStyle w:val="Header"/>
                                  <w:jc w:val="right"/>
                                  <w:rPr>
                                    <w:rFonts w:ascii="Gotham Book" w:hAnsi="Gotham Book"/>
                                  </w:rPr>
                                </w:pPr>
                              </w:p>
                            </w:tc>
                          </w:tr>
                        </w:tbl>
                        <w:p w:rsidR="00023A6C" w:rsidRPr="00D95C4C" w:rsidRDefault="00023A6C" w:rsidP="005C2DF6">
                          <w:pPr>
                            <w:pStyle w:val="Header"/>
                            <w:rPr>
                              <w:rFonts w:ascii="Gotham Book" w:hAnsi="Gotham Book"/>
                            </w:rPr>
                          </w:pPr>
                        </w:p>
                        <w:p w:rsidR="00023A6C" w:rsidRPr="00D95C4C" w:rsidRDefault="00023A6C">
                          <w:pPr>
                            <w:rPr>
                              <w:rFonts w:ascii="Gotham Book" w:hAnsi="Gotham Book"/>
                            </w:rPr>
                          </w:pPr>
                        </w:p>
                      </w:txbxContent>
                    </v:textbox>
                  </v:shape>
                </w:pict>
              </mc:Fallback>
            </mc:AlternateContent>
          </w:r>
          <w:r>
            <w:rPr>
              <w:rFonts w:ascii="Arial" w:hAnsi="Arial"/>
              <w:noProof/>
              <w:sz w:val="18"/>
            </w:rPr>
            <mc:AlternateContent>
              <mc:Choice Requires="wps">
                <w:drawing>
                  <wp:anchor distT="0" distB="0" distL="114299" distR="114299" simplePos="0" relativeHeight="251660288" behindDoc="0" locked="0" layoutInCell="1" allowOverlap="1">
                    <wp:simplePos x="0" y="0"/>
                    <wp:positionH relativeFrom="column">
                      <wp:posOffset>2306319</wp:posOffset>
                    </wp:positionH>
                    <wp:positionV relativeFrom="paragraph">
                      <wp:posOffset>68580</wp:posOffset>
                    </wp:positionV>
                    <wp:extent cx="0" cy="114300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906E369" id="Straight Connector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1.6pt,5.4pt" to="181.6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" strokecolor="black [3213]" strokeweight=".5pt">
                    <o:lock v:ext="edit" shapetype="f"/>
                  </v:line>
                </w:pict>
              </mc:Fallback>
            </mc:AlternateContent>
          </w:r>
          <w:r w:rsidR="00023A6C">
            <w:rPr>
              <w:rFonts w:ascii="Arial" w:hAnsi="Arial"/>
              <w:noProof/>
              <w:sz w:val="18"/>
            </w:rPr>
            <w:drawing>
              <wp:inline distT="0" distB="0" distL="0" distR="0">
                <wp:extent cx="1359672" cy="1212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Farms_Logo_RGB.png"/>
                        <pic:cNvPicPr/>
                      </pic:nvPicPr>
                      <pic:blipFill>
                        <a:blip r:embed="rId1">
                          <a:extLst>
                            <a:ext uri="{28A0092B-C50C-407E-A947-70E740481C1C}">
                              <a14:useLocalDpi xmlns:a14="http://schemas.microsoft.com/office/drawing/2010/main" val="0"/>
                            </a:ext>
                          </a:extLst>
                        </a:blip>
                        <a:stretch>
                          <a:fillRect/>
                        </a:stretch>
                      </pic:blipFill>
                      <pic:spPr>
                        <a:xfrm>
                          <a:off x="0" y="0"/>
                          <a:ext cx="1359934" cy="1212872"/>
                        </a:xfrm>
                        <a:prstGeom prst="rect">
                          <a:avLst/>
                        </a:prstGeom>
                      </pic:spPr>
                    </pic:pic>
                  </a:graphicData>
                </a:graphic>
              </wp:inline>
            </w:drawing>
          </w:r>
        </w:p>
      </w:tc>
      <w:tc>
        <w:tcPr>
          <w:tcW w:w="4860" w:type="dxa"/>
          <w:tcBorders>
            <w:left w:val="nil"/>
          </w:tcBorders>
        </w:tcPr>
        <w:p w:rsidR="00023A6C" w:rsidRDefault="00023A6C" w:rsidP="00E46C0B">
          <w:pPr>
            <w:pStyle w:val="Header"/>
            <w:ind w:left="-4428" w:firstLine="90"/>
          </w:pPr>
          <w:r>
            <w:rPr>
              <w:noProof/>
            </w:rPr>
            <w:drawing>
              <wp:inline distT="0" distB="0" distL="0" distR="0">
                <wp:extent cx="1291020" cy="1151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Farms_Logo_RGB.png"/>
                        <pic:cNvPicPr/>
                      </pic:nvPicPr>
                      <pic:blipFill>
                        <a:blip r:embed="rId1">
                          <a:extLst>
                            <a:ext uri="{28A0092B-C50C-407E-A947-70E740481C1C}">
                              <a14:useLocalDpi xmlns:a14="http://schemas.microsoft.com/office/drawing/2010/main" val="0"/>
                            </a:ext>
                          </a:extLst>
                        </a:blip>
                        <a:stretch>
                          <a:fillRect/>
                        </a:stretch>
                      </pic:blipFill>
                      <pic:spPr>
                        <a:xfrm>
                          <a:off x="0" y="0"/>
                          <a:ext cx="1291491" cy="1151886"/>
                        </a:xfrm>
                        <a:prstGeom prst="rect">
                          <a:avLst/>
                        </a:prstGeom>
                      </pic:spPr>
                    </pic:pic>
                  </a:graphicData>
                </a:graphic>
              </wp:inline>
            </w:drawing>
          </w:r>
        </w:p>
      </w:tc>
    </w:tr>
  </w:tbl>
  <w:p w:rsidR="00023A6C" w:rsidRPr="00E46C0B" w:rsidRDefault="00023A6C" w:rsidP="00E46C0B">
    <w:pPr>
      <w:pStyle w:val="Header"/>
      <w:tabs>
        <w:tab w:val="left" w:pos="4770"/>
      </w:tabs>
      <w:ind w:righ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497B"/>
    <w:multiLevelType w:val="hybridMultilevel"/>
    <w:tmpl w:val="7CF65406"/>
    <w:lvl w:ilvl="0" w:tplc="89840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9149C6"/>
    <w:multiLevelType w:val="hybridMultilevel"/>
    <w:tmpl w:val="861C4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C0235"/>
    <w:multiLevelType w:val="hybridMultilevel"/>
    <w:tmpl w:val="A9A462E2"/>
    <w:lvl w:ilvl="0" w:tplc="D4F8C65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0335A"/>
    <w:multiLevelType w:val="hybridMultilevel"/>
    <w:tmpl w:val="25A21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51"/>
    <w:rsid w:val="00023A6C"/>
    <w:rsid w:val="000429E8"/>
    <w:rsid w:val="000F38D0"/>
    <w:rsid w:val="000F392C"/>
    <w:rsid w:val="00112CC2"/>
    <w:rsid w:val="0015776B"/>
    <w:rsid w:val="00181F78"/>
    <w:rsid w:val="001930B0"/>
    <w:rsid w:val="00205190"/>
    <w:rsid w:val="00232681"/>
    <w:rsid w:val="002B3F28"/>
    <w:rsid w:val="002D2C2B"/>
    <w:rsid w:val="0031051D"/>
    <w:rsid w:val="003165DD"/>
    <w:rsid w:val="003259CF"/>
    <w:rsid w:val="00345366"/>
    <w:rsid w:val="00370303"/>
    <w:rsid w:val="00374A74"/>
    <w:rsid w:val="003F1F8D"/>
    <w:rsid w:val="00416489"/>
    <w:rsid w:val="00445FEB"/>
    <w:rsid w:val="0045162A"/>
    <w:rsid w:val="00460409"/>
    <w:rsid w:val="0049763A"/>
    <w:rsid w:val="004C5525"/>
    <w:rsid w:val="0051308D"/>
    <w:rsid w:val="005624CF"/>
    <w:rsid w:val="00567442"/>
    <w:rsid w:val="00592FBE"/>
    <w:rsid w:val="005C2DF6"/>
    <w:rsid w:val="005E5D36"/>
    <w:rsid w:val="005F57D5"/>
    <w:rsid w:val="006140E5"/>
    <w:rsid w:val="00631C43"/>
    <w:rsid w:val="006D6196"/>
    <w:rsid w:val="006F75B4"/>
    <w:rsid w:val="007A1EC5"/>
    <w:rsid w:val="007D07E1"/>
    <w:rsid w:val="00882B93"/>
    <w:rsid w:val="008D0367"/>
    <w:rsid w:val="008E4ED5"/>
    <w:rsid w:val="008F0B9E"/>
    <w:rsid w:val="008F70B4"/>
    <w:rsid w:val="009075F7"/>
    <w:rsid w:val="00937551"/>
    <w:rsid w:val="00947796"/>
    <w:rsid w:val="00957E22"/>
    <w:rsid w:val="009721FF"/>
    <w:rsid w:val="009C39A9"/>
    <w:rsid w:val="00A2256B"/>
    <w:rsid w:val="00A23637"/>
    <w:rsid w:val="00A50309"/>
    <w:rsid w:val="00A94D17"/>
    <w:rsid w:val="00B25866"/>
    <w:rsid w:val="00BD4D99"/>
    <w:rsid w:val="00C54100"/>
    <w:rsid w:val="00CA57D2"/>
    <w:rsid w:val="00CA5B4C"/>
    <w:rsid w:val="00CA7B24"/>
    <w:rsid w:val="00D03F14"/>
    <w:rsid w:val="00D35FDC"/>
    <w:rsid w:val="00D95C4C"/>
    <w:rsid w:val="00DA0DF3"/>
    <w:rsid w:val="00DA7540"/>
    <w:rsid w:val="00E46C0B"/>
    <w:rsid w:val="00EE4AAC"/>
    <w:rsid w:val="00F10862"/>
    <w:rsid w:val="00F219F0"/>
    <w:rsid w:val="00F46C8C"/>
    <w:rsid w:val="00F72D21"/>
    <w:rsid w:val="00F92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D27240"/>
  <w15:docId w15:val="{3E7FCD46-512D-4CBB-AD49-53BCDA92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81"/>
  </w:style>
  <w:style w:type="paragraph" w:styleId="Heading1">
    <w:name w:val="heading 1"/>
    <w:basedOn w:val="Normal"/>
    <w:next w:val="Normal"/>
    <w:qFormat/>
    <w:rsid w:val="00232681"/>
    <w:pPr>
      <w:keepNext/>
      <w:jc w:val="center"/>
      <w:outlineLvl w:val="0"/>
    </w:pPr>
    <w:rPr>
      <w:sz w:val="24"/>
    </w:rPr>
  </w:style>
  <w:style w:type="paragraph" w:styleId="Heading2">
    <w:name w:val="heading 2"/>
    <w:basedOn w:val="Normal"/>
    <w:next w:val="Normal"/>
    <w:qFormat/>
    <w:rsid w:val="00232681"/>
    <w:pPr>
      <w:keepNext/>
      <w:tabs>
        <w:tab w:val="left" w:pos="-720"/>
      </w:tabs>
      <w:suppressAutoHyphens/>
      <w:outlineLvl w:val="1"/>
    </w:pPr>
    <w:rPr>
      <w:sz w:val="24"/>
    </w:rPr>
  </w:style>
  <w:style w:type="paragraph" w:styleId="Heading3">
    <w:name w:val="heading 3"/>
    <w:basedOn w:val="Normal"/>
    <w:next w:val="Normal"/>
    <w:qFormat/>
    <w:rsid w:val="00232681"/>
    <w:pPr>
      <w:keepNext/>
      <w:ind w:right="-3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232681"/>
  </w:style>
  <w:style w:type="paragraph" w:customStyle="1" w:styleId="InsideAddressName">
    <w:name w:val="Inside Address Name"/>
    <w:basedOn w:val="Normal"/>
    <w:rsid w:val="00232681"/>
  </w:style>
  <w:style w:type="paragraph" w:customStyle="1" w:styleId="InsideAddress">
    <w:name w:val="Inside Address"/>
    <w:basedOn w:val="Normal"/>
    <w:rsid w:val="00232681"/>
  </w:style>
  <w:style w:type="paragraph" w:styleId="Salutation">
    <w:name w:val="Salutation"/>
    <w:basedOn w:val="Normal"/>
    <w:next w:val="Normal"/>
    <w:rsid w:val="00232681"/>
  </w:style>
  <w:style w:type="paragraph" w:customStyle="1" w:styleId="SubjectLine">
    <w:name w:val="Subject Line"/>
    <w:basedOn w:val="Normal"/>
    <w:rsid w:val="00232681"/>
  </w:style>
  <w:style w:type="paragraph" w:styleId="BodyText">
    <w:name w:val="Body Text"/>
    <w:basedOn w:val="Normal"/>
    <w:rsid w:val="00232681"/>
    <w:pPr>
      <w:spacing w:after="120"/>
    </w:pPr>
  </w:style>
  <w:style w:type="paragraph" w:styleId="Closing">
    <w:name w:val="Closing"/>
    <w:basedOn w:val="Normal"/>
    <w:rsid w:val="00232681"/>
  </w:style>
  <w:style w:type="paragraph" w:styleId="Signature">
    <w:name w:val="Signature"/>
    <w:basedOn w:val="Normal"/>
    <w:rsid w:val="00232681"/>
  </w:style>
  <w:style w:type="paragraph" w:customStyle="1" w:styleId="SignatureJobTitle">
    <w:name w:val="Signature Job Title"/>
    <w:basedOn w:val="Signature"/>
    <w:rsid w:val="00232681"/>
  </w:style>
  <w:style w:type="paragraph" w:customStyle="1" w:styleId="SignatureCompany">
    <w:name w:val="Signature Company"/>
    <w:basedOn w:val="Signature"/>
    <w:rsid w:val="00232681"/>
  </w:style>
  <w:style w:type="paragraph" w:customStyle="1" w:styleId="Enclosure">
    <w:name w:val="Enclosure"/>
    <w:basedOn w:val="Normal"/>
    <w:rsid w:val="00232681"/>
  </w:style>
  <w:style w:type="paragraph" w:customStyle="1" w:styleId="CcList">
    <w:name w:val="Cc List"/>
    <w:basedOn w:val="Normal"/>
    <w:rsid w:val="00232681"/>
  </w:style>
  <w:style w:type="paragraph" w:styleId="Header">
    <w:name w:val="header"/>
    <w:basedOn w:val="Normal"/>
    <w:link w:val="HeaderChar"/>
    <w:rsid w:val="00232681"/>
    <w:pPr>
      <w:tabs>
        <w:tab w:val="center" w:pos="4320"/>
        <w:tab w:val="right" w:pos="8640"/>
      </w:tabs>
    </w:pPr>
  </w:style>
  <w:style w:type="paragraph" w:styleId="Footer">
    <w:name w:val="footer"/>
    <w:basedOn w:val="Normal"/>
    <w:rsid w:val="00232681"/>
    <w:pPr>
      <w:tabs>
        <w:tab w:val="center" w:pos="4320"/>
        <w:tab w:val="right" w:pos="8640"/>
      </w:tabs>
    </w:pPr>
  </w:style>
  <w:style w:type="paragraph" w:customStyle="1" w:styleId="SignatureName">
    <w:name w:val="Signature Name"/>
    <w:basedOn w:val="Signature"/>
    <w:next w:val="SignatureJobTitle"/>
    <w:rsid w:val="00232681"/>
    <w:pPr>
      <w:keepNext/>
      <w:spacing w:before="880" w:line="220" w:lineRule="atLeast"/>
    </w:pPr>
    <w:rPr>
      <w:rFonts w:ascii="Arial" w:hAnsi="Arial"/>
      <w:spacing w:val="-5"/>
    </w:rPr>
  </w:style>
  <w:style w:type="paragraph" w:customStyle="1" w:styleId="ReferenceInitials">
    <w:name w:val="Reference Initials"/>
    <w:basedOn w:val="BodyText"/>
    <w:next w:val="Enclosure"/>
    <w:rsid w:val="00232681"/>
    <w:pPr>
      <w:keepNext/>
      <w:keepLines/>
      <w:spacing w:before="220" w:after="0" w:line="220" w:lineRule="atLeast"/>
      <w:jc w:val="both"/>
    </w:pPr>
    <w:rPr>
      <w:rFonts w:ascii="Arial" w:hAnsi="Arial"/>
      <w:spacing w:val="-5"/>
    </w:rPr>
  </w:style>
  <w:style w:type="paragraph" w:customStyle="1" w:styleId="CC">
    <w:name w:val="CC"/>
    <w:basedOn w:val="BodyText"/>
    <w:rsid w:val="00232681"/>
    <w:pPr>
      <w:keepLines/>
      <w:spacing w:after="220" w:line="220" w:lineRule="atLeast"/>
      <w:ind w:left="360" w:hanging="360"/>
    </w:pPr>
    <w:rPr>
      <w:rFonts w:ascii="Arial" w:hAnsi="Arial"/>
      <w:spacing w:val="-5"/>
    </w:rPr>
  </w:style>
  <w:style w:type="paragraph" w:styleId="BodyText2">
    <w:name w:val="Body Text 2"/>
    <w:basedOn w:val="Normal"/>
    <w:rsid w:val="00232681"/>
    <w:rPr>
      <w:sz w:val="24"/>
    </w:rPr>
  </w:style>
  <w:style w:type="paragraph" w:customStyle="1" w:styleId="Notice">
    <w:name w:val="Notice"/>
    <w:basedOn w:val="Normal"/>
    <w:rsid w:val="00232681"/>
    <w:pPr>
      <w:keepLines/>
      <w:tabs>
        <w:tab w:val="left" w:pos="2880"/>
      </w:tabs>
      <w:spacing w:after="240"/>
      <w:ind w:left="2880" w:hanging="2160"/>
    </w:pPr>
    <w:rPr>
      <w:bCs/>
      <w:snapToGrid w:val="0"/>
      <w:sz w:val="24"/>
    </w:rPr>
  </w:style>
  <w:style w:type="character" w:styleId="Hyperlink">
    <w:name w:val="Hyperlink"/>
    <w:basedOn w:val="DefaultParagraphFont"/>
    <w:rsid w:val="002D2C2B"/>
    <w:rPr>
      <w:color w:val="0000FF"/>
      <w:u w:val="single"/>
    </w:rPr>
  </w:style>
  <w:style w:type="paragraph" w:styleId="ListParagraph">
    <w:name w:val="List Paragraph"/>
    <w:basedOn w:val="Normal"/>
    <w:uiPriority w:val="34"/>
    <w:qFormat/>
    <w:rsid w:val="009075F7"/>
    <w:pPr>
      <w:ind w:left="720"/>
    </w:pPr>
  </w:style>
  <w:style w:type="paragraph" w:styleId="BalloonText">
    <w:name w:val="Balloon Text"/>
    <w:basedOn w:val="Normal"/>
    <w:link w:val="BalloonTextChar"/>
    <w:rsid w:val="00E46C0B"/>
    <w:rPr>
      <w:rFonts w:ascii="Lucida Grande" w:hAnsi="Lucida Grande"/>
      <w:sz w:val="18"/>
      <w:szCs w:val="18"/>
    </w:rPr>
  </w:style>
  <w:style w:type="character" w:customStyle="1" w:styleId="BalloonTextChar">
    <w:name w:val="Balloon Text Char"/>
    <w:basedOn w:val="DefaultParagraphFont"/>
    <w:link w:val="BalloonText"/>
    <w:rsid w:val="00E46C0B"/>
    <w:rPr>
      <w:rFonts w:ascii="Lucida Grande" w:hAnsi="Lucida Grande"/>
      <w:sz w:val="18"/>
      <w:szCs w:val="18"/>
    </w:rPr>
  </w:style>
  <w:style w:type="character" w:customStyle="1" w:styleId="HeaderChar">
    <w:name w:val="Header Char"/>
    <w:basedOn w:val="DefaultParagraphFont"/>
    <w:link w:val="Header"/>
    <w:rsid w:val="005C2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8103">
      <w:bodyDiv w:val="1"/>
      <w:marLeft w:val="0"/>
      <w:marRight w:val="0"/>
      <w:marTop w:val="0"/>
      <w:marBottom w:val="0"/>
      <w:divBdr>
        <w:top w:val="none" w:sz="0" w:space="0" w:color="auto"/>
        <w:left w:val="none" w:sz="0" w:space="0" w:color="auto"/>
        <w:bottom w:val="none" w:sz="0" w:space="0" w:color="auto"/>
        <w:right w:val="none" w:sz="0" w:space="0" w:color="auto"/>
      </w:divBdr>
    </w:div>
    <w:div w:id="502818948">
      <w:bodyDiv w:val="1"/>
      <w:marLeft w:val="0"/>
      <w:marRight w:val="0"/>
      <w:marTop w:val="0"/>
      <w:marBottom w:val="0"/>
      <w:divBdr>
        <w:top w:val="none" w:sz="0" w:space="0" w:color="auto"/>
        <w:left w:val="none" w:sz="0" w:space="0" w:color="auto"/>
        <w:bottom w:val="none" w:sz="0" w:space="0" w:color="auto"/>
        <w:right w:val="none" w:sz="0" w:space="0" w:color="auto"/>
      </w:divBdr>
    </w:div>
    <w:div w:id="103358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782C8-C242-48ED-9CF3-6547324B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January 9, 1998</vt:lpstr>
    </vt:vector>
  </TitlesOfParts>
  <Company>FOSTER FARMS</Company>
  <LinksUpToDate>false</LinksUpToDate>
  <CharactersWithSpaces>7902</CharactersWithSpaces>
  <SharedDoc>false</SharedDoc>
  <HLinks>
    <vt:vector size="6" baseType="variant">
      <vt:variant>
        <vt:i4>7864326</vt:i4>
      </vt:variant>
      <vt:variant>
        <vt:i4>0</vt:i4>
      </vt:variant>
      <vt:variant>
        <vt:i4>0</vt:i4>
      </vt:variant>
      <vt:variant>
        <vt:i4>5</vt:i4>
      </vt:variant>
      <vt:variant>
        <vt:lpwstr>mailto:james.marnatti@fosterfarms.com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9, 1998</dc:title>
  <dc:creator>James Marnatti</dc:creator>
  <cp:lastModifiedBy>Bower, Tom</cp:lastModifiedBy>
  <cp:revision>4</cp:revision>
  <cp:lastPrinted>2019-04-30T21:57:00Z</cp:lastPrinted>
  <dcterms:created xsi:type="dcterms:W3CDTF">2020-04-21T17:34:00Z</dcterms:created>
  <dcterms:modified xsi:type="dcterms:W3CDTF">2020-04-23T20:26:00Z</dcterms:modified>
</cp:coreProperties>
</file>