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1" w:rsidRPr="00C113E7" w:rsidRDefault="001C3FE0" w:rsidP="001C3FE0">
      <w:pPr>
        <w:jc w:val="center"/>
        <w:rPr>
          <w:rFonts w:ascii="Arial" w:hAnsi="Arial"/>
          <w:b/>
        </w:rPr>
      </w:pPr>
      <w:bookmarkStart w:id="0" w:name="_GoBack"/>
      <w:bookmarkEnd w:id="0"/>
      <w:r w:rsidRPr="00C113E7">
        <w:rPr>
          <w:rFonts w:ascii="Arial" w:hAnsi="Arial"/>
          <w:b/>
        </w:rPr>
        <w:t>Cap-and-Trade Regulation Amendment Request</w:t>
      </w:r>
    </w:p>
    <w:p w:rsidR="001C3FE0" w:rsidRPr="00C113E7" w:rsidRDefault="001C3FE0">
      <w:pPr>
        <w:rPr>
          <w:rFonts w:ascii="Arial" w:hAnsi="Arial"/>
        </w:rPr>
      </w:pPr>
    </w:p>
    <w:p w:rsidR="00CB4EE8" w:rsidRPr="00C113E7" w:rsidRDefault="00CB4EE8"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w:t>
      </w:r>
      <w:proofErr w:type="gramStart"/>
      <w:r w:rsidRPr="00C113E7">
        <w:rPr>
          <w:rFonts w:ascii="Arial" w:hAnsi="Arial"/>
        </w:rPr>
        <w:t xml:space="preserve">aids staff in tracking requests and </w:t>
      </w:r>
      <w:r w:rsidRPr="00C113E7">
        <w:rPr>
          <w:rFonts w:ascii="Arial" w:hAnsi="Arial"/>
          <w:b/>
        </w:rPr>
        <w:t>does</w:t>
      </w:r>
      <w:proofErr w:type="gramEnd"/>
      <w:r w:rsidRPr="00C113E7">
        <w:rPr>
          <w:rFonts w:ascii="Arial" w:hAnsi="Arial"/>
          <w:b/>
        </w:rPr>
        <w:t xml:space="preserve">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w:t>
      </w:r>
      <w:proofErr w:type="gramStart"/>
      <w:r>
        <w:rPr>
          <w:rFonts w:ascii="Arial" w:hAnsi="Arial"/>
        </w:rPr>
        <w:t>)(</w:t>
      </w:r>
      <w:proofErr w:type="gramEnd"/>
      <w:r>
        <w:rPr>
          <w:rFonts w:ascii="Arial" w:hAnsi="Arial"/>
        </w:rPr>
        <w:t xml:space="preserve">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CB4EE8" w:rsidRPr="00C113E7" w:rsidRDefault="00CB4EE8" w:rsidP="00CB4EE8">
      <w:pPr>
        <w:rPr>
          <w:rFonts w:ascii="Arial" w:hAnsi="Arial"/>
        </w:rPr>
      </w:pPr>
    </w:p>
    <w:p w:rsidR="00CB4EE8" w:rsidRPr="00C113E7" w:rsidRDefault="00CB4EE8" w:rsidP="00CB4EE8">
      <w:pPr>
        <w:jc w:val="center"/>
        <w:rPr>
          <w:rFonts w:ascii="Arial" w:hAnsi="Arial"/>
        </w:rPr>
      </w:pPr>
      <w:r w:rsidRPr="00C113E7">
        <w:rPr>
          <w:rFonts w:ascii="Arial" w:hAnsi="Arial"/>
        </w:rPr>
        <w:t>David Allgood (</w:t>
      </w:r>
      <w:hyperlink r:id="rId9" w:history="1">
        <w:r w:rsidRPr="003B260B">
          <w:rPr>
            <w:rStyle w:val="Hyperlink"/>
            <w:rFonts w:ascii="Arial" w:hAnsi="Arial"/>
          </w:rPr>
          <w:t>dallgood@arb.ca.gov</w:t>
        </w:r>
      </w:hyperlink>
      <w:r w:rsidRPr="00C113E7">
        <w:rPr>
          <w:rFonts w:ascii="Arial" w:hAnsi="Arial"/>
        </w:rPr>
        <w:t>)</w:t>
      </w:r>
    </w:p>
    <w:p w:rsidR="00CB4EE8" w:rsidRPr="00C113E7" w:rsidRDefault="00CB4EE8" w:rsidP="00CB4EE8">
      <w:pPr>
        <w:jc w:val="center"/>
        <w:rPr>
          <w:rFonts w:ascii="Arial" w:hAnsi="Arial"/>
        </w:rPr>
      </w:pPr>
      <w:r w:rsidRPr="00C113E7">
        <w:rPr>
          <w:rFonts w:ascii="Arial" w:hAnsi="Arial"/>
        </w:rPr>
        <w:t>Stationary Source Division</w:t>
      </w:r>
    </w:p>
    <w:p w:rsidR="00CB4EE8" w:rsidRPr="00C113E7" w:rsidRDefault="00CB4EE8" w:rsidP="00CB4EE8">
      <w:pPr>
        <w:jc w:val="center"/>
        <w:rPr>
          <w:rFonts w:ascii="Arial" w:hAnsi="Arial"/>
        </w:rPr>
      </w:pPr>
      <w:r w:rsidRPr="00C113E7">
        <w:rPr>
          <w:rFonts w:ascii="Arial" w:hAnsi="Arial"/>
        </w:rPr>
        <w:t xml:space="preserve">P.O. Box </w:t>
      </w:r>
      <w:r>
        <w:rPr>
          <w:rFonts w:ascii="Arial" w:hAnsi="Arial"/>
        </w:rPr>
        <w:t>2815</w:t>
      </w:r>
    </w:p>
    <w:p w:rsidR="00CB4EE8" w:rsidRPr="00C113E7" w:rsidRDefault="00CB4EE8" w:rsidP="00CB4EE8">
      <w:pPr>
        <w:jc w:val="center"/>
        <w:rPr>
          <w:rFonts w:ascii="Arial" w:hAnsi="Arial"/>
        </w:rPr>
      </w:pPr>
      <w:r w:rsidRPr="00C113E7">
        <w:rPr>
          <w:rFonts w:ascii="Arial" w:hAnsi="Arial"/>
        </w:rPr>
        <w:t>Sacramento, CA  95812</w:t>
      </w:r>
    </w:p>
    <w:p w:rsidR="003541BF" w:rsidRDefault="003541BF">
      <w:pPr>
        <w:rPr>
          <w:rFonts w:ascii="Arial" w:hAnsi="Arial"/>
          <w:b/>
          <w:u w:val="single"/>
        </w:rPr>
      </w:pPr>
      <w:r>
        <w:rPr>
          <w:rFonts w:ascii="Arial" w:hAnsi="Arial"/>
          <w:b/>
          <w:u w:val="single"/>
        </w:rPr>
        <w:t>General Information</w:t>
      </w:r>
    </w:p>
    <w:p w:rsidR="003541BF" w:rsidRDefault="003541BF">
      <w:pPr>
        <w:rPr>
          <w:rFonts w:ascii="Arial" w:hAnsi="Arial"/>
          <w:b/>
          <w:u w:val="single"/>
        </w:rPr>
      </w:pPr>
    </w:p>
    <w:tbl>
      <w:tblPr>
        <w:tblStyle w:val="TableGrid"/>
        <w:tblpPr w:leftFromText="180" w:rightFromText="180" w:vertAnchor="text" w:horzAnchor="page" w:tblpX="2428" w:tblpY="-64"/>
        <w:tblOverlap w:val="never"/>
        <w:tblW w:w="0" w:type="auto"/>
        <w:tblLook w:val="04A0" w:firstRow="1" w:lastRow="0" w:firstColumn="1" w:lastColumn="0" w:noHBand="0" w:noVBand="1"/>
      </w:tblPr>
      <w:tblGrid>
        <w:gridCol w:w="2447"/>
      </w:tblGrid>
      <w:tr w:rsidR="00696723" w:rsidTr="00696723">
        <w:trPr>
          <w:trHeight w:val="319"/>
        </w:trPr>
        <w:tc>
          <w:tcPr>
            <w:tcW w:w="2447" w:type="dxa"/>
            <w:shd w:val="clear" w:color="auto" w:fill="BFBFBF" w:themeFill="background1" w:themeFillShade="BF"/>
          </w:tcPr>
          <w:p w:rsidR="00696723" w:rsidRDefault="00002ACB" w:rsidP="00696723">
            <w:pPr>
              <w:rPr>
                <w:rFonts w:ascii="Arial" w:hAnsi="Arial"/>
              </w:rPr>
            </w:pPr>
            <w:r>
              <w:rPr>
                <w:rFonts w:ascii="Arial" w:hAnsi="Arial"/>
              </w:rPr>
              <w:t>August 2, 2013</w:t>
            </w:r>
          </w:p>
        </w:tc>
      </w:tr>
    </w:tbl>
    <w:p w:rsidR="00A7657F" w:rsidRDefault="001C3FE0">
      <w:pPr>
        <w:rPr>
          <w:rFonts w:ascii="Arial" w:hAnsi="Arial"/>
        </w:rPr>
      </w:pPr>
      <w:r w:rsidRPr="00C113E7">
        <w:rPr>
          <w:rFonts w:ascii="Arial" w:hAnsi="Arial"/>
        </w:rPr>
        <w:t>Date:</w:t>
      </w:r>
      <w:r w:rsidR="006512AF">
        <w:rPr>
          <w:rFonts w:ascii="Arial" w:hAnsi="Arial"/>
        </w:rPr>
        <w:t xml:space="preserve"> </w:t>
      </w:r>
    </w:p>
    <w:p w:rsidR="00116058" w:rsidRDefault="00116058">
      <w:pPr>
        <w:rPr>
          <w:rFonts w:ascii="Arial" w:hAnsi="Arial"/>
        </w:rPr>
      </w:pPr>
    </w:p>
    <w:tbl>
      <w:tblPr>
        <w:tblStyle w:val="TableGrid"/>
        <w:tblpPr w:leftFromText="180" w:rightFromText="180" w:vertAnchor="text" w:horzAnchor="page" w:tblpX="3493" w:tblpY="-68"/>
        <w:tblOverlap w:val="never"/>
        <w:tblW w:w="0" w:type="auto"/>
        <w:tblLook w:val="04A0" w:firstRow="1" w:lastRow="0" w:firstColumn="1" w:lastColumn="0" w:noHBand="0" w:noVBand="1"/>
      </w:tblPr>
      <w:tblGrid>
        <w:gridCol w:w="2447"/>
      </w:tblGrid>
      <w:tr w:rsidR="00696723" w:rsidTr="00696723">
        <w:trPr>
          <w:trHeight w:val="319"/>
        </w:trPr>
        <w:tc>
          <w:tcPr>
            <w:tcW w:w="2447" w:type="dxa"/>
            <w:shd w:val="clear" w:color="auto" w:fill="BFBFBF" w:themeFill="background1" w:themeFillShade="BF"/>
          </w:tcPr>
          <w:p w:rsidR="00696723" w:rsidRPr="00EA3E00" w:rsidRDefault="00002ACB" w:rsidP="00696723">
            <w:pPr>
              <w:rPr>
                <w:rFonts w:ascii="Arial" w:hAnsi="Arial"/>
              </w:rPr>
            </w:pPr>
            <w:r>
              <w:rPr>
                <w:rFonts w:ascii="Arial" w:hAnsi="Arial"/>
              </w:rPr>
              <w:t>Braydon Boulanger</w:t>
            </w:r>
          </w:p>
        </w:tc>
      </w:tr>
    </w:tbl>
    <w:tbl>
      <w:tblPr>
        <w:tblStyle w:val="TableGrid"/>
        <w:tblpPr w:leftFromText="180" w:rightFromText="180" w:vertAnchor="text" w:horzAnchor="page" w:tblpX="7543" w:tblpY="-46"/>
        <w:tblOverlap w:val="never"/>
        <w:tblW w:w="0" w:type="auto"/>
        <w:tblLook w:val="04A0" w:firstRow="1" w:lastRow="0" w:firstColumn="1" w:lastColumn="0" w:noHBand="0" w:noVBand="1"/>
      </w:tblPr>
      <w:tblGrid>
        <w:gridCol w:w="2447"/>
      </w:tblGrid>
      <w:tr w:rsidR="00696723" w:rsidTr="00696723">
        <w:trPr>
          <w:trHeight w:val="319"/>
        </w:trPr>
        <w:tc>
          <w:tcPr>
            <w:tcW w:w="2447" w:type="dxa"/>
            <w:shd w:val="clear" w:color="auto" w:fill="BFBFBF" w:themeFill="background1" w:themeFillShade="BF"/>
          </w:tcPr>
          <w:p w:rsidR="00696723" w:rsidRDefault="00002ACB" w:rsidP="00696723">
            <w:pPr>
              <w:rPr>
                <w:rFonts w:ascii="Arial" w:hAnsi="Arial"/>
              </w:rPr>
            </w:pPr>
            <w:r>
              <w:rPr>
                <w:rFonts w:ascii="Arial" w:hAnsi="Arial"/>
              </w:rPr>
              <w:t xml:space="preserve">TransAlta </w:t>
            </w:r>
          </w:p>
        </w:tc>
      </w:tr>
    </w:tbl>
    <w:p w:rsidR="006512AF" w:rsidRDefault="001C3FE0">
      <w:pPr>
        <w:rPr>
          <w:rFonts w:ascii="Arial" w:hAnsi="Arial"/>
        </w:rPr>
      </w:pPr>
      <w:r w:rsidRPr="00C113E7">
        <w:rPr>
          <w:rFonts w:ascii="Arial" w:hAnsi="Arial"/>
        </w:rPr>
        <w:t>Submitted by</w:t>
      </w:r>
      <w:r w:rsidR="006512AF">
        <w:rPr>
          <w:rFonts w:ascii="Arial" w:hAnsi="Arial"/>
        </w:rPr>
        <w:t xml:space="preserve">: </w:t>
      </w:r>
      <w:r w:rsidR="00EA3E00">
        <w:rPr>
          <w:rFonts w:ascii="Arial" w:hAnsi="Arial"/>
        </w:rPr>
        <w:t xml:space="preserve">     </w:t>
      </w:r>
      <w:r w:rsidR="00A7657F">
        <w:rPr>
          <w:rFonts w:ascii="Arial" w:hAnsi="Arial"/>
        </w:rPr>
        <w:t>A</w:t>
      </w:r>
      <w:r w:rsidRPr="00C113E7">
        <w:rPr>
          <w:rFonts w:ascii="Arial" w:hAnsi="Arial"/>
        </w:rPr>
        <w:t>ffiliation:</w:t>
      </w:r>
      <w:r w:rsidR="006512AF">
        <w:rPr>
          <w:rFonts w:ascii="Arial" w:hAnsi="Arial"/>
        </w:rPr>
        <w:t xml:space="preserve"> </w:t>
      </w:r>
      <w:r w:rsidR="00696723">
        <w:rPr>
          <w:rFonts w:ascii="Arial" w:hAnsi="Arial"/>
        </w:rPr>
        <w:t xml:space="preserve">               </w:t>
      </w:r>
    </w:p>
    <w:tbl>
      <w:tblPr>
        <w:tblStyle w:val="TableGrid"/>
        <w:tblpPr w:leftFromText="180" w:rightFromText="180" w:vertAnchor="text" w:horzAnchor="margin" w:tblpXSpec="right" w:tblpY="241"/>
        <w:tblOverlap w:val="never"/>
        <w:tblW w:w="3369" w:type="dxa"/>
        <w:tblLook w:val="04A0" w:firstRow="1" w:lastRow="0" w:firstColumn="1" w:lastColumn="0" w:noHBand="0" w:noVBand="1"/>
      </w:tblPr>
      <w:tblGrid>
        <w:gridCol w:w="3996"/>
      </w:tblGrid>
      <w:tr w:rsidR="002073DF" w:rsidTr="00F9426F">
        <w:trPr>
          <w:trHeight w:val="317"/>
        </w:trPr>
        <w:tc>
          <w:tcPr>
            <w:tcW w:w="2448" w:type="dxa"/>
            <w:shd w:val="clear" w:color="auto" w:fill="BFBFBF" w:themeFill="background1" w:themeFillShade="BF"/>
          </w:tcPr>
          <w:p w:rsidR="002073DF" w:rsidRDefault="00002ACB" w:rsidP="002073DF">
            <w:pPr>
              <w:rPr>
                <w:rFonts w:ascii="Arial" w:hAnsi="Arial"/>
              </w:rPr>
            </w:pPr>
            <w:r>
              <w:rPr>
                <w:rFonts w:ascii="Arial" w:hAnsi="Arial"/>
              </w:rPr>
              <w:t>Braydon_boulanger@transalta.com</w:t>
            </w:r>
          </w:p>
        </w:tc>
      </w:tr>
    </w:tbl>
    <w:p w:rsidR="00696723" w:rsidRDefault="00696723">
      <w:pPr>
        <w:rPr>
          <w:rFonts w:ascii="Arial" w:hAnsi="Arial"/>
        </w:rPr>
      </w:pPr>
    </w:p>
    <w:tbl>
      <w:tblPr>
        <w:tblStyle w:val="TableGrid"/>
        <w:tblpPr w:leftFromText="180" w:rightFromText="180" w:vertAnchor="text" w:horzAnchor="page" w:tblpX="3523" w:tblpY="-43"/>
        <w:tblOverlap w:val="never"/>
        <w:tblW w:w="0" w:type="auto"/>
        <w:tblLook w:val="04A0" w:firstRow="1" w:lastRow="0" w:firstColumn="1" w:lastColumn="0" w:noHBand="0" w:noVBand="1"/>
      </w:tblPr>
      <w:tblGrid>
        <w:gridCol w:w="2447"/>
      </w:tblGrid>
      <w:tr w:rsidR="00696723" w:rsidTr="00696723">
        <w:trPr>
          <w:trHeight w:val="319"/>
        </w:trPr>
        <w:tc>
          <w:tcPr>
            <w:tcW w:w="2447" w:type="dxa"/>
            <w:shd w:val="clear" w:color="auto" w:fill="BFBFBF" w:themeFill="background1" w:themeFillShade="BF"/>
          </w:tcPr>
          <w:p w:rsidR="00696723" w:rsidRDefault="00002ACB" w:rsidP="00696723">
            <w:pPr>
              <w:rPr>
                <w:rFonts w:ascii="Arial" w:hAnsi="Arial"/>
              </w:rPr>
            </w:pPr>
            <w:r>
              <w:rPr>
                <w:rFonts w:ascii="Arial" w:hAnsi="Arial"/>
              </w:rPr>
              <w:t>4032675833</w:t>
            </w:r>
          </w:p>
        </w:tc>
      </w:tr>
    </w:tbl>
    <w:p w:rsidR="001C3FE0" w:rsidRPr="00C113E7" w:rsidRDefault="003541BF">
      <w:pPr>
        <w:rPr>
          <w:rFonts w:ascii="Arial" w:hAnsi="Arial"/>
        </w:rPr>
      </w:pPr>
      <w:r>
        <w:rPr>
          <w:rFonts w:ascii="Arial" w:hAnsi="Arial"/>
        </w:rPr>
        <w:t xml:space="preserve">Contact </w:t>
      </w:r>
      <w:r w:rsidR="006512AF">
        <w:rPr>
          <w:rFonts w:ascii="Arial" w:hAnsi="Arial"/>
        </w:rPr>
        <w:t xml:space="preserve">Phone: </w:t>
      </w:r>
      <w:r w:rsidR="00696723">
        <w:rPr>
          <w:rFonts w:ascii="Arial" w:hAnsi="Arial"/>
        </w:rPr>
        <w:t xml:space="preserve">       </w:t>
      </w:r>
      <w:r w:rsidR="00EA3E00">
        <w:rPr>
          <w:rFonts w:ascii="Arial" w:hAnsi="Arial"/>
        </w:rPr>
        <w:t xml:space="preserve">       </w:t>
      </w:r>
      <w:r w:rsidR="006512AF">
        <w:rPr>
          <w:rFonts w:ascii="Arial" w:hAnsi="Arial"/>
        </w:rPr>
        <w:t xml:space="preserve">E-mail: </w:t>
      </w:r>
    </w:p>
    <w:p w:rsidR="00EA3E00" w:rsidRDefault="00EA3E00">
      <w:pPr>
        <w:rPr>
          <w:rFonts w:ascii="Arial" w:hAnsi="Arial"/>
          <w:b/>
          <w:u w:val="single"/>
        </w:rPr>
      </w:pPr>
    </w:p>
    <w:p w:rsidR="003541BF" w:rsidRDefault="003541BF">
      <w:pPr>
        <w:rPr>
          <w:rFonts w:ascii="Arial" w:hAnsi="Arial"/>
          <w:b/>
          <w:u w:val="single"/>
        </w:rPr>
      </w:pPr>
      <w:r w:rsidRPr="003541BF">
        <w:rPr>
          <w:rFonts w:ascii="Arial" w:hAnsi="Arial"/>
          <w:b/>
          <w:u w:val="single"/>
        </w:rPr>
        <w:t xml:space="preserve">Section </w:t>
      </w:r>
    </w:p>
    <w:tbl>
      <w:tblPr>
        <w:tblStyle w:val="TableGrid"/>
        <w:tblpPr w:leftFromText="180" w:rightFromText="180" w:vertAnchor="text" w:horzAnchor="margin" w:tblpXSpec="center" w:tblpY="238"/>
        <w:tblOverlap w:val="never"/>
        <w:tblW w:w="0" w:type="auto"/>
        <w:tblLook w:val="04A0" w:firstRow="1" w:lastRow="0" w:firstColumn="1" w:lastColumn="0" w:noHBand="0" w:noVBand="1"/>
      </w:tblPr>
      <w:tblGrid>
        <w:gridCol w:w="4636"/>
      </w:tblGrid>
      <w:tr w:rsidR="002073DF" w:rsidTr="002073DF">
        <w:trPr>
          <w:trHeight w:val="317"/>
        </w:trPr>
        <w:tc>
          <w:tcPr>
            <w:tcW w:w="4636" w:type="dxa"/>
            <w:shd w:val="clear" w:color="auto" w:fill="BFBFBF" w:themeFill="background1" w:themeFillShade="BF"/>
          </w:tcPr>
          <w:p w:rsidR="002073DF" w:rsidRDefault="00002ACB" w:rsidP="002073DF">
            <w:pPr>
              <w:rPr>
                <w:rFonts w:ascii="Arial" w:hAnsi="Arial"/>
              </w:rPr>
            </w:pPr>
            <w:r>
              <w:rPr>
                <w:rFonts w:ascii="Arial" w:hAnsi="Arial"/>
              </w:rPr>
              <w:t>Cap and Trade 95852 (b) (2)</w:t>
            </w:r>
          </w:p>
        </w:tc>
      </w:tr>
    </w:tbl>
    <w:p w:rsidR="003541BF" w:rsidRPr="003541BF" w:rsidRDefault="003541BF">
      <w:pPr>
        <w:rPr>
          <w:rFonts w:ascii="Arial" w:hAnsi="Arial"/>
          <w:b/>
          <w:u w:val="single"/>
        </w:rPr>
      </w:pPr>
    </w:p>
    <w:p w:rsidR="001C3FE0" w:rsidRDefault="001253C9">
      <w:pPr>
        <w:rPr>
          <w:rFonts w:ascii="Arial" w:hAnsi="Arial"/>
        </w:rPr>
      </w:pPr>
      <w:r w:rsidRPr="00C113E7">
        <w:rPr>
          <w:rFonts w:ascii="Arial" w:hAnsi="Arial"/>
        </w:rPr>
        <w:t>Primary section</w:t>
      </w:r>
      <w:r w:rsidR="00C113E7">
        <w:rPr>
          <w:rFonts w:ascii="Arial" w:hAnsi="Arial"/>
        </w:rPr>
        <w:t>(s):</w:t>
      </w:r>
      <w:r w:rsidR="006512AF">
        <w:rPr>
          <w:rFonts w:ascii="Arial" w:hAnsi="Arial"/>
        </w:rPr>
        <w:t xml:space="preserve"> </w:t>
      </w:r>
    </w:p>
    <w:p w:rsidR="006512AF" w:rsidRDefault="006512AF">
      <w:pPr>
        <w:rPr>
          <w:rFonts w:ascii="Arial" w:hAnsi="Arial"/>
        </w:rPr>
      </w:pPr>
    </w:p>
    <w:p w:rsidR="006512AF" w:rsidRDefault="006512AF">
      <w:pPr>
        <w:rPr>
          <w:rFonts w:ascii="Arial" w:hAnsi="Arial"/>
        </w:rPr>
      </w:pPr>
    </w:p>
    <w:tbl>
      <w:tblPr>
        <w:tblStyle w:val="TableGrid"/>
        <w:tblpPr w:leftFromText="180" w:rightFromText="180" w:vertAnchor="text" w:horzAnchor="margin" w:tblpXSpec="center" w:tblpY="-71"/>
        <w:tblOverlap w:val="never"/>
        <w:tblW w:w="0" w:type="auto"/>
        <w:tblLook w:val="04A0" w:firstRow="1" w:lastRow="0" w:firstColumn="1" w:lastColumn="0" w:noHBand="0" w:noVBand="1"/>
      </w:tblPr>
      <w:tblGrid>
        <w:gridCol w:w="4637"/>
      </w:tblGrid>
      <w:tr w:rsidR="002073DF" w:rsidTr="00F9426F">
        <w:trPr>
          <w:trHeight w:val="317"/>
        </w:trPr>
        <w:tc>
          <w:tcPr>
            <w:tcW w:w="4637" w:type="dxa"/>
            <w:shd w:val="clear" w:color="auto" w:fill="BFBFBF" w:themeFill="background1" w:themeFillShade="BF"/>
          </w:tcPr>
          <w:p w:rsidR="002073DF" w:rsidRDefault="00002ACB" w:rsidP="002073DF">
            <w:pPr>
              <w:rPr>
                <w:rFonts w:ascii="Arial" w:hAnsi="Arial"/>
              </w:rPr>
            </w:pPr>
            <w:r>
              <w:rPr>
                <w:rFonts w:ascii="Arial" w:hAnsi="Arial"/>
              </w:rPr>
              <w:t>MRR New Subsection 95111 (b)(5)</w:t>
            </w:r>
          </w:p>
        </w:tc>
      </w:tr>
    </w:tbl>
    <w:p w:rsidR="00C113E7" w:rsidRDefault="00C113E7">
      <w:pPr>
        <w:rPr>
          <w:rFonts w:ascii="Arial" w:hAnsi="Arial"/>
        </w:rPr>
      </w:pPr>
      <w:r>
        <w:rPr>
          <w:rFonts w:ascii="Arial" w:hAnsi="Arial"/>
        </w:rPr>
        <w:t>Related section(s):</w:t>
      </w:r>
      <w:r w:rsidR="006512AF">
        <w:rPr>
          <w:rFonts w:ascii="Arial" w:hAnsi="Arial"/>
        </w:rPr>
        <w:t xml:space="preserve"> </w:t>
      </w:r>
    </w:p>
    <w:p w:rsidR="00C113E7" w:rsidRDefault="00C113E7">
      <w:pPr>
        <w:rPr>
          <w:rFonts w:ascii="Arial" w:hAnsi="Arial"/>
        </w:rPr>
      </w:pPr>
    </w:p>
    <w:p w:rsidR="003541BF" w:rsidRDefault="003541BF">
      <w:pPr>
        <w:rPr>
          <w:rFonts w:ascii="Arial" w:hAnsi="Arial"/>
          <w:b/>
          <w:u w:val="single"/>
        </w:rPr>
      </w:pPr>
    </w:p>
    <w:p w:rsidR="003541BF" w:rsidRPr="003541BF" w:rsidRDefault="003541BF">
      <w:pPr>
        <w:rPr>
          <w:rFonts w:ascii="Arial" w:hAnsi="Arial"/>
          <w:b/>
          <w:u w:val="single"/>
        </w:rPr>
      </w:pPr>
      <w:r w:rsidRPr="003541BF">
        <w:rPr>
          <w:rFonts w:ascii="Arial" w:hAnsi="Arial"/>
          <w:b/>
          <w:u w:val="single"/>
        </w:rPr>
        <w:t>Amendment Request</w:t>
      </w:r>
    </w:p>
    <w:p w:rsidR="003541BF" w:rsidRDefault="003541BF">
      <w:pPr>
        <w:rPr>
          <w:rFonts w:ascii="Arial" w:hAnsi="Arial"/>
        </w:rPr>
      </w:pPr>
    </w:p>
    <w:p w:rsidR="002C2284" w:rsidRDefault="002C2284">
      <w:pPr>
        <w:rPr>
          <w:rFonts w:ascii="Arial" w:hAnsi="Arial"/>
        </w:rPr>
      </w:pPr>
      <w:r>
        <w:rPr>
          <w:rFonts w:ascii="Arial" w:hAnsi="Arial"/>
        </w:rPr>
        <w:t xml:space="preserve">Type of amendment:  </w:t>
      </w:r>
      <w:sdt>
        <w:sdtPr>
          <w:rPr>
            <w:rFonts w:ascii="Arial" w:hAnsi="Arial"/>
          </w:rPr>
          <w:id w:val="1381747200"/>
          <w14:checkbox>
            <w14:checked w14:val="0"/>
            <w14:checkedState w14:val="2612" w14:font="MS Gothic"/>
            <w14:uncheckedState w14:val="2610" w14:font="MS Gothic"/>
          </w14:checkbox>
        </w:sdtPr>
        <w:sdtEndPr/>
        <w:sdtContent>
          <w:r w:rsidR="00002ACB">
            <w:rPr>
              <w:rFonts w:ascii="MS Gothic" w:eastAsia="MS Gothic" w:hAnsi="MS Gothic" w:hint="eastAsia"/>
            </w:rPr>
            <w:t>☐</w:t>
          </w:r>
        </w:sdtContent>
      </w:sdt>
      <w:r w:rsidR="006512AF">
        <w:rPr>
          <w:rFonts w:ascii="Arial" w:hAnsi="Arial"/>
        </w:rPr>
        <w:t>Policy</w:t>
      </w:r>
      <w:r w:rsidR="006512AF">
        <w:rPr>
          <w:rFonts w:ascii="Arial" w:hAnsi="Arial"/>
        </w:rPr>
        <w:tab/>
      </w:r>
      <w:sdt>
        <w:sdtPr>
          <w:rPr>
            <w:rFonts w:ascii="Arial" w:hAnsi="Arial"/>
          </w:rPr>
          <w:id w:val="-529258150"/>
          <w14:checkbox>
            <w14:checked w14:val="0"/>
            <w14:checkedState w14:val="2612" w14:font="MS Gothic"/>
            <w14:uncheckedState w14:val="2610" w14:font="MS Gothic"/>
          </w14:checkbox>
        </w:sdtPr>
        <w:sdtEndPr/>
        <w:sdtContent>
          <w:r w:rsidR="006512AF">
            <w:rPr>
              <w:rFonts w:ascii="MS Gothic" w:eastAsia="MS Gothic" w:hAnsi="MS Gothic" w:hint="eastAsia"/>
            </w:rPr>
            <w:t>☐</w:t>
          </w:r>
        </w:sdtContent>
      </w:sdt>
      <w:r w:rsidR="006512AF">
        <w:rPr>
          <w:rFonts w:ascii="Arial" w:hAnsi="Arial"/>
        </w:rPr>
        <w:t>Error</w:t>
      </w:r>
      <w:r w:rsidR="006512AF">
        <w:rPr>
          <w:rFonts w:ascii="Arial" w:hAnsi="Arial"/>
        </w:rPr>
        <w:tab/>
      </w:r>
      <w:sdt>
        <w:sdtPr>
          <w:rPr>
            <w:rFonts w:ascii="Arial" w:hAnsi="Arial"/>
          </w:rPr>
          <w:id w:val="1824854332"/>
          <w14:checkbox>
            <w14:checked w14:val="1"/>
            <w14:checkedState w14:val="2612" w14:font="MS Gothic"/>
            <w14:uncheckedState w14:val="2610" w14:font="MS Gothic"/>
          </w14:checkbox>
        </w:sdtPr>
        <w:sdtEndPr/>
        <w:sdtContent>
          <w:r w:rsidR="00002ACB">
            <w:rPr>
              <w:rFonts w:ascii="MS Gothic" w:eastAsia="MS Gothic" w:hAnsi="MS Gothic" w:hint="eastAsia"/>
            </w:rPr>
            <w:t>☒</w:t>
          </w:r>
        </w:sdtContent>
      </w:sdt>
      <w:r>
        <w:rPr>
          <w:rFonts w:ascii="Arial" w:hAnsi="Arial"/>
        </w:rPr>
        <w:t>Clarity</w:t>
      </w:r>
    </w:p>
    <w:p w:rsidR="003541BF" w:rsidRDefault="003541BF">
      <w:pPr>
        <w:rPr>
          <w:rFonts w:ascii="Arial" w:hAnsi="Arial"/>
        </w:rPr>
      </w:pPr>
    </w:p>
    <w:tbl>
      <w:tblPr>
        <w:tblStyle w:val="TableGrid"/>
        <w:tblpPr w:leftFromText="180" w:rightFromText="180" w:vertAnchor="text" w:horzAnchor="margin" w:tblpXSpec="right" w:tblpY="-14"/>
        <w:tblOverlap w:val="never"/>
        <w:tblW w:w="0" w:type="auto"/>
        <w:tblLook w:val="04A0" w:firstRow="1" w:lastRow="0" w:firstColumn="1" w:lastColumn="0" w:noHBand="0" w:noVBand="1"/>
      </w:tblPr>
      <w:tblGrid>
        <w:gridCol w:w="6472"/>
      </w:tblGrid>
      <w:tr w:rsidR="002073DF" w:rsidTr="00C53939">
        <w:trPr>
          <w:trHeight w:val="980"/>
        </w:trPr>
        <w:tc>
          <w:tcPr>
            <w:tcW w:w="6472" w:type="dxa"/>
            <w:shd w:val="clear" w:color="auto" w:fill="BFBFBF" w:themeFill="background1" w:themeFillShade="BF"/>
          </w:tcPr>
          <w:p w:rsidR="002073DF" w:rsidRDefault="00002ACB" w:rsidP="002073DF">
            <w:pPr>
              <w:rPr>
                <w:rFonts w:ascii="Arial" w:hAnsi="Arial"/>
              </w:rPr>
            </w:pPr>
            <w:r>
              <w:rPr>
                <w:rFonts w:ascii="Calibri" w:hAnsi="Calibri"/>
                <w:sz w:val="22"/>
                <w:szCs w:val="22"/>
              </w:rPr>
              <w:t xml:space="preserve">TransAlta requests that ARB provide further clarity on energy marketing activities that reside within the confines of safe harbor 10 that could be considered a Resource Shuffling violation.  </w:t>
            </w:r>
          </w:p>
        </w:tc>
      </w:tr>
    </w:tbl>
    <w:p w:rsidR="00C113E7" w:rsidRDefault="003541BF">
      <w:pPr>
        <w:rPr>
          <w:rFonts w:ascii="Arial" w:hAnsi="Arial"/>
        </w:rPr>
      </w:pPr>
      <w:r>
        <w:rPr>
          <w:rFonts w:ascii="Arial" w:hAnsi="Arial"/>
        </w:rPr>
        <w:t xml:space="preserve">Reason for amendment: </w:t>
      </w:r>
    </w:p>
    <w:p w:rsidR="00C113E7" w:rsidRDefault="00C113E7">
      <w:pPr>
        <w:rPr>
          <w:rFonts w:ascii="Arial" w:hAnsi="Arial"/>
        </w:rPr>
      </w:pPr>
    </w:p>
    <w:p w:rsidR="003541BF" w:rsidRDefault="003541BF">
      <w:pPr>
        <w:rPr>
          <w:rFonts w:ascii="Arial" w:hAnsi="Arial"/>
        </w:rPr>
      </w:pPr>
    </w:p>
    <w:p w:rsidR="003541BF" w:rsidRDefault="003541BF">
      <w:pPr>
        <w:rPr>
          <w:rFonts w:ascii="Arial" w:hAnsi="Arial"/>
        </w:rPr>
      </w:pPr>
    </w:p>
    <w:tbl>
      <w:tblPr>
        <w:tblStyle w:val="TableGrid"/>
        <w:tblpPr w:leftFromText="180" w:rightFromText="180" w:vertAnchor="text" w:horzAnchor="margin" w:tblpXSpec="right" w:tblpY="91"/>
        <w:tblOverlap w:val="never"/>
        <w:tblW w:w="0" w:type="auto"/>
        <w:tblLook w:val="04A0" w:firstRow="1" w:lastRow="0" w:firstColumn="1" w:lastColumn="0" w:noHBand="0" w:noVBand="1"/>
      </w:tblPr>
      <w:tblGrid>
        <w:gridCol w:w="6472"/>
      </w:tblGrid>
      <w:tr w:rsidR="002073DF" w:rsidTr="00C53939">
        <w:trPr>
          <w:trHeight w:val="980"/>
        </w:trPr>
        <w:tc>
          <w:tcPr>
            <w:tcW w:w="6472" w:type="dxa"/>
            <w:shd w:val="clear" w:color="auto" w:fill="BFBFBF" w:themeFill="background1" w:themeFillShade="BF"/>
          </w:tcPr>
          <w:p w:rsidR="00002ACB" w:rsidRPr="009F1D33" w:rsidRDefault="00002ACB" w:rsidP="00002ACB">
            <w:pPr>
              <w:tabs>
                <w:tab w:val="left" w:pos="1800"/>
                <w:tab w:val="right" w:pos="9270"/>
                <w:tab w:val="left" w:pos="9990"/>
              </w:tabs>
              <w:rPr>
                <w:rFonts w:ascii="Calibri" w:hAnsi="Calibri"/>
                <w:sz w:val="22"/>
                <w:szCs w:val="22"/>
              </w:rPr>
            </w:pPr>
            <w:r>
              <w:rPr>
                <w:rFonts w:ascii="Calibri" w:hAnsi="Calibri"/>
                <w:sz w:val="22"/>
                <w:szCs w:val="22"/>
              </w:rPr>
              <w:lastRenderedPageBreak/>
              <w:t xml:space="preserve">RE: July 18, 2013 Workshop </w:t>
            </w:r>
          </w:p>
          <w:p w:rsidR="00002ACB" w:rsidRPr="009F1D33" w:rsidRDefault="00002ACB" w:rsidP="00002ACB">
            <w:pPr>
              <w:tabs>
                <w:tab w:val="left" w:pos="1800"/>
                <w:tab w:val="right" w:pos="9270"/>
                <w:tab w:val="left" w:pos="9990"/>
              </w:tabs>
              <w:spacing w:line="360" w:lineRule="auto"/>
              <w:jc w:val="both"/>
              <w:rPr>
                <w:rFonts w:ascii="Calibri" w:hAnsi="Calibri"/>
                <w:sz w:val="22"/>
                <w:szCs w:val="22"/>
              </w:rPr>
            </w:pPr>
          </w:p>
          <w:p w:rsidR="00002ACB" w:rsidRDefault="00002ACB" w:rsidP="00002ACB">
            <w:pPr>
              <w:jc w:val="both"/>
              <w:rPr>
                <w:rFonts w:ascii="Calibri" w:hAnsi="Calibri"/>
                <w:sz w:val="22"/>
                <w:szCs w:val="22"/>
              </w:rPr>
            </w:pPr>
            <w:r w:rsidRPr="009F1D33">
              <w:rPr>
                <w:rFonts w:ascii="Calibri" w:hAnsi="Calibri"/>
                <w:sz w:val="22"/>
                <w:szCs w:val="22"/>
              </w:rPr>
              <w:t xml:space="preserve">TransAlta </w:t>
            </w:r>
            <w:r>
              <w:rPr>
                <w:rFonts w:ascii="Calibri" w:hAnsi="Calibri"/>
                <w:sz w:val="22"/>
                <w:szCs w:val="22"/>
              </w:rPr>
              <w:t>is encouraged to see that ARB is moving</w:t>
            </w:r>
            <w:r w:rsidRPr="009F1D33">
              <w:rPr>
                <w:rFonts w:ascii="Calibri" w:hAnsi="Calibri"/>
                <w:sz w:val="22"/>
                <w:szCs w:val="22"/>
              </w:rPr>
              <w:t xml:space="preserve"> to </w:t>
            </w:r>
            <w:r>
              <w:rPr>
                <w:rFonts w:ascii="Calibri" w:hAnsi="Calibri"/>
                <w:sz w:val="22"/>
                <w:szCs w:val="22"/>
              </w:rPr>
              <w:t>codify “Appendix A” into official regulatory text</w:t>
            </w:r>
            <w:r w:rsidRPr="009F1D33">
              <w:rPr>
                <w:rFonts w:ascii="Calibri" w:hAnsi="Calibri"/>
                <w:sz w:val="22"/>
                <w:szCs w:val="22"/>
              </w:rPr>
              <w:t xml:space="preserve">.  </w:t>
            </w:r>
            <w:r>
              <w:rPr>
                <w:rFonts w:ascii="Calibri" w:hAnsi="Calibri"/>
                <w:sz w:val="22"/>
                <w:szCs w:val="22"/>
              </w:rPr>
              <w:t xml:space="preserve">TransAlta requests that ARB provide further clarity on energy marketing activities that reside within the confines of safe harbor 10 that could be considered a Resource Shuffling violation.  This request is focused on two particular areas of concern. </w:t>
            </w:r>
          </w:p>
          <w:p w:rsidR="00002ACB" w:rsidRDefault="00002ACB" w:rsidP="00002ACB">
            <w:pPr>
              <w:jc w:val="both"/>
              <w:rPr>
                <w:rFonts w:ascii="Calibri" w:hAnsi="Calibri"/>
                <w:sz w:val="22"/>
                <w:szCs w:val="22"/>
              </w:rPr>
            </w:pPr>
          </w:p>
          <w:p w:rsidR="00002ACB" w:rsidRDefault="00002ACB" w:rsidP="00002ACB">
            <w:pPr>
              <w:pStyle w:val="PlainText"/>
              <w:jc w:val="both"/>
            </w:pPr>
            <w:r>
              <w:t xml:space="preserve">TransAlta understands from staff comments, that safe harbor 10 does not apply to short-term transactions that are linked to selling off or assigning a contract for power from a power plant which does not meet the EPS with which a California Electricity Distribution Utility has a contract, or in which a California Electricity Distribution Utility has an ownership share.  We further understand that such linked transactions, if they are not covered under safe harbors 11, 12, and 13, could be Resource Shuffling.  Despite this description, it remains unclear as to what constitutes a linked transaction. </w:t>
            </w:r>
          </w:p>
          <w:p w:rsidR="00002ACB" w:rsidRPr="00432FB8" w:rsidRDefault="00002ACB" w:rsidP="00002ACB">
            <w:pPr>
              <w:pStyle w:val="PlainText"/>
              <w:jc w:val="both"/>
              <w:rPr>
                <w:i/>
              </w:rPr>
            </w:pPr>
          </w:p>
          <w:p w:rsidR="00002ACB" w:rsidRDefault="00002ACB" w:rsidP="00002ACB">
            <w:pPr>
              <w:pStyle w:val="PlainText"/>
              <w:numPr>
                <w:ilvl w:val="0"/>
                <w:numId w:val="1"/>
              </w:numPr>
              <w:jc w:val="both"/>
            </w:pPr>
            <w:r>
              <w:t>Please provide additional clarity on what ARB considers “linked” transactions.</w:t>
            </w:r>
          </w:p>
          <w:p w:rsidR="00002ACB" w:rsidRDefault="00002ACB" w:rsidP="00002ACB">
            <w:pPr>
              <w:pStyle w:val="PlainText"/>
              <w:ind w:left="720"/>
              <w:jc w:val="both"/>
            </w:pPr>
          </w:p>
          <w:p w:rsidR="00002ACB" w:rsidRDefault="00002ACB" w:rsidP="00002ACB">
            <w:pPr>
              <w:pStyle w:val="PlainText"/>
              <w:jc w:val="both"/>
            </w:pPr>
            <w:r>
              <w:t xml:space="preserve">Separately, staff has proposed amending the MRR to apply system emission factors to electricity which is imported, with the following language: </w:t>
            </w:r>
            <w:r w:rsidRPr="005157D6">
              <w:rPr>
                <w:i/>
              </w:rPr>
              <w:t>for system power imports above the default emission factor for unspecified electricity imports, electricity that is not tagged as originating from unique specified sources of generation but is instead tagged as system power cannot be claimed as an unspecified source</w:t>
            </w:r>
            <w:r>
              <w:t xml:space="preserve">. We understand that for some transactions, this provision may apply and result in a higher emission factor and if reported incorrectly, a Resource Shuffling violation may occur.  In previous conversations with ARB, we understood that Resource Shuffling was limited to impermissible substitutions, not incorrect reporting.  </w:t>
            </w:r>
          </w:p>
          <w:p w:rsidR="00002ACB" w:rsidRDefault="00002ACB" w:rsidP="00002ACB">
            <w:pPr>
              <w:pStyle w:val="PlainText"/>
              <w:jc w:val="both"/>
            </w:pPr>
          </w:p>
          <w:p w:rsidR="00002ACB" w:rsidRPr="006B6630" w:rsidRDefault="00002ACB" w:rsidP="00002ACB">
            <w:pPr>
              <w:pStyle w:val="PlainText"/>
              <w:numPr>
                <w:ilvl w:val="0"/>
                <w:numId w:val="1"/>
              </w:numPr>
              <w:jc w:val="both"/>
            </w:pPr>
            <w:r w:rsidRPr="006B6630">
              <w:t>Please provide a clear definition of a “system”, which indicates how t</w:t>
            </w:r>
            <w:r>
              <w:t>hey are</w:t>
            </w:r>
            <w:r w:rsidRPr="006B6630">
              <w:t xml:space="preserve"> identified or verified</w:t>
            </w:r>
            <w:r>
              <w:t>, and disclose how incorrect reporting of system transactions, could be considered Resource Shuffling.</w:t>
            </w:r>
          </w:p>
          <w:p w:rsidR="00002ACB" w:rsidRPr="00B41A04" w:rsidRDefault="00002ACB" w:rsidP="00002ACB">
            <w:pPr>
              <w:jc w:val="both"/>
              <w:rPr>
                <w:rFonts w:ascii="Calibri" w:hAnsi="Calibri"/>
                <w:sz w:val="22"/>
                <w:szCs w:val="22"/>
              </w:rPr>
            </w:pPr>
          </w:p>
          <w:p w:rsidR="00002ACB" w:rsidRDefault="00002ACB" w:rsidP="00002ACB">
            <w:pPr>
              <w:jc w:val="both"/>
              <w:rPr>
                <w:rFonts w:ascii="Calibri" w:hAnsi="Calibri"/>
                <w:sz w:val="22"/>
                <w:szCs w:val="22"/>
              </w:rPr>
            </w:pPr>
            <w:r>
              <w:rPr>
                <w:rFonts w:ascii="Calibri" w:hAnsi="Calibri"/>
                <w:sz w:val="22"/>
                <w:szCs w:val="22"/>
              </w:rPr>
              <w:t>TransAlta thanks you for considering these clarifying amendments and requests that ARB hosts another workshop to discuss Resource Shuffling, prior to submitting draft regulations for final approval.</w:t>
            </w:r>
          </w:p>
          <w:p w:rsidR="00002ACB" w:rsidRDefault="00002ACB" w:rsidP="00002ACB">
            <w:pPr>
              <w:jc w:val="both"/>
              <w:rPr>
                <w:rFonts w:ascii="Calibri" w:hAnsi="Calibri"/>
                <w:sz w:val="22"/>
                <w:szCs w:val="22"/>
              </w:rPr>
            </w:pPr>
          </w:p>
          <w:p w:rsidR="00002ACB" w:rsidRDefault="00002ACB" w:rsidP="00002ACB">
            <w:pPr>
              <w:jc w:val="both"/>
              <w:rPr>
                <w:rFonts w:ascii="Calibri" w:hAnsi="Calibri"/>
                <w:sz w:val="22"/>
                <w:szCs w:val="22"/>
              </w:rPr>
            </w:pPr>
            <w:r>
              <w:rPr>
                <w:rFonts w:ascii="Calibri" w:hAnsi="Calibri"/>
                <w:sz w:val="22"/>
                <w:szCs w:val="22"/>
              </w:rPr>
              <w:t>Sincerely,</w:t>
            </w:r>
          </w:p>
          <w:p w:rsidR="00002ACB" w:rsidRPr="00114375" w:rsidRDefault="00002ACB" w:rsidP="00002ACB">
            <w:pPr>
              <w:rPr>
                <w:rFonts w:ascii="Calibri" w:hAnsi="Calibri"/>
                <w:sz w:val="20"/>
              </w:rPr>
            </w:pPr>
          </w:p>
          <w:p w:rsidR="00002ACB" w:rsidRPr="00114375" w:rsidRDefault="00002ACB" w:rsidP="00002ACB">
            <w:pPr>
              <w:rPr>
                <w:rFonts w:ascii="Calibri" w:hAnsi="Calibri"/>
                <w:sz w:val="22"/>
                <w:szCs w:val="22"/>
              </w:rPr>
            </w:pPr>
            <w:r w:rsidRPr="00114375">
              <w:rPr>
                <w:rFonts w:ascii="Calibri" w:hAnsi="Calibri"/>
                <w:sz w:val="22"/>
                <w:szCs w:val="22"/>
              </w:rPr>
              <w:t>Braydon Boulanger</w:t>
            </w:r>
          </w:p>
          <w:p w:rsidR="002073DF" w:rsidRDefault="002073DF" w:rsidP="002073DF">
            <w:pPr>
              <w:rPr>
                <w:rFonts w:ascii="Arial" w:hAnsi="Arial"/>
              </w:rPr>
            </w:pPr>
          </w:p>
        </w:tc>
      </w:tr>
    </w:tbl>
    <w:p w:rsidR="00116058" w:rsidRDefault="003541BF">
      <w:pPr>
        <w:rPr>
          <w:rFonts w:ascii="Arial" w:hAnsi="Arial"/>
        </w:rPr>
      </w:pPr>
      <w:r>
        <w:rPr>
          <w:rFonts w:ascii="Arial" w:hAnsi="Arial"/>
        </w:rPr>
        <w:t xml:space="preserve">Additional information: </w:t>
      </w:r>
    </w:p>
    <w:p w:rsidR="00116058" w:rsidRPr="00C113E7" w:rsidRDefault="00116058">
      <w:pPr>
        <w:rPr>
          <w:rFonts w:ascii="Arial" w:hAnsi="Arial"/>
        </w:rPr>
      </w:pPr>
    </w:p>
    <w:sectPr w:rsidR="00116058" w:rsidRPr="00C113E7" w:rsidSect="00E733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7B" w:rsidRDefault="00155F7B" w:rsidP="00C113E7">
      <w:r>
        <w:separator/>
      </w:r>
    </w:p>
  </w:endnote>
  <w:endnote w:type="continuationSeparator" w:id="0">
    <w:p w:rsidR="00155F7B" w:rsidRDefault="00155F7B" w:rsidP="00C1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7B" w:rsidRDefault="00155F7B" w:rsidP="00C113E7">
      <w:r>
        <w:separator/>
      </w:r>
    </w:p>
  </w:footnote>
  <w:footnote w:type="continuationSeparator" w:id="0">
    <w:p w:rsidR="00155F7B" w:rsidRDefault="00155F7B" w:rsidP="00C1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4E" w:rsidRDefault="00A42A4E" w:rsidP="00C113E7">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B4460"/>
    <w:multiLevelType w:val="hybridMultilevel"/>
    <w:tmpl w:val="379C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E0"/>
    <w:rsid w:val="00002ACB"/>
    <w:rsid w:val="00116058"/>
    <w:rsid w:val="001253C9"/>
    <w:rsid w:val="00155F7B"/>
    <w:rsid w:val="00175906"/>
    <w:rsid w:val="001C3FE0"/>
    <w:rsid w:val="002073DF"/>
    <w:rsid w:val="0021007D"/>
    <w:rsid w:val="002C2284"/>
    <w:rsid w:val="003541BF"/>
    <w:rsid w:val="00431DB9"/>
    <w:rsid w:val="004C5F60"/>
    <w:rsid w:val="00514117"/>
    <w:rsid w:val="005350E6"/>
    <w:rsid w:val="006037D7"/>
    <w:rsid w:val="006512AF"/>
    <w:rsid w:val="00655CF3"/>
    <w:rsid w:val="00696723"/>
    <w:rsid w:val="006D68E3"/>
    <w:rsid w:val="008626B8"/>
    <w:rsid w:val="008D194C"/>
    <w:rsid w:val="008F0C3D"/>
    <w:rsid w:val="009F062A"/>
    <w:rsid w:val="00A42A4E"/>
    <w:rsid w:val="00A7657F"/>
    <w:rsid w:val="00B20E09"/>
    <w:rsid w:val="00C113E7"/>
    <w:rsid w:val="00C53939"/>
    <w:rsid w:val="00C625C7"/>
    <w:rsid w:val="00C75371"/>
    <w:rsid w:val="00CB4EE8"/>
    <w:rsid w:val="00DD1D51"/>
    <w:rsid w:val="00E733FF"/>
    <w:rsid w:val="00EA3E00"/>
    <w:rsid w:val="00EE03BD"/>
    <w:rsid w:val="00F17CFF"/>
    <w:rsid w:val="00F9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E0"/>
    <w:rPr>
      <w:color w:val="0000FF" w:themeColor="hyperlink"/>
      <w:u w:val="single"/>
    </w:rPr>
  </w:style>
  <w:style w:type="paragraph" w:styleId="Header">
    <w:name w:val="header"/>
    <w:basedOn w:val="Normal"/>
    <w:link w:val="HeaderChar"/>
    <w:uiPriority w:val="99"/>
    <w:unhideWhenUsed/>
    <w:rsid w:val="00C113E7"/>
    <w:pPr>
      <w:tabs>
        <w:tab w:val="center" w:pos="4320"/>
        <w:tab w:val="right" w:pos="8640"/>
      </w:tabs>
    </w:pPr>
  </w:style>
  <w:style w:type="character" w:customStyle="1" w:styleId="HeaderChar">
    <w:name w:val="Header Char"/>
    <w:basedOn w:val="DefaultParagraphFont"/>
    <w:link w:val="Header"/>
    <w:uiPriority w:val="99"/>
    <w:rsid w:val="00C113E7"/>
  </w:style>
  <w:style w:type="paragraph" w:styleId="Footer">
    <w:name w:val="footer"/>
    <w:basedOn w:val="Normal"/>
    <w:link w:val="FooterChar"/>
    <w:uiPriority w:val="99"/>
    <w:unhideWhenUsed/>
    <w:rsid w:val="00C113E7"/>
    <w:pPr>
      <w:tabs>
        <w:tab w:val="center" w:pos="4320"/>
        <w:tab w:val="right" w:pos="8640"/>
      </w:tabs>
    </w:pPr>
  </w:style>
  <w:style w:type="character" w:customStyle="1" w:styleId="FooterChar">
    <w:name w:val="Footer Char"/>
    <w:basedOn w:val="DefaultParagraphFont"/>
    <w:link w:val="Footer"/>
    <w:uiPriority w:val="99"/>
    <w:rsid w:val="00C113E7"/>
  </w:style>
  <w:style w:type="character" w:styleId="CommentReference">
    <w:name w:val="annotation reference"/>
    <w:basedOn w:val="DefaultParagraphFont"/>
    <w:uiPriority w:val="99"/>
    <w:semiHidden/>
    <w:unhideWhenUsed/>
    <w:rsid w:val="00EE03BD"/>
    <w:rPr>
      <w:sz w:val="18"/>
      <w:szCs w:val="18"/>
    </w:rPr>
  </w:style>
  <w:style w:type="paragraph" w:styleId="CommentText">
    <w:name w:val="annotation text"/>
    <w:basedOn w:val="Normal"/>
    <w:link w:val="CommentTextChar"/>
    <w:uiPriority w:val="99"/>
    <w:semiHidden/>
    <w:unhideWhenUsed/>
    <w:rsid w:val="00EE03BD"/>
  </w:style>
  <w:style w:type="character" w:customStyle="1" w:styleId="CommentTextChar">
    <w:name w:val="Comment Text Char"/>
    <w:basedOn w:val="DefaultParagraphFont"/>
    <w:link w:val="CommentText"/>
    <w:uiPriority w:val="99"/>
    <w:semiHidden/>
    <w:rsid w:val="00EE03BD"/>
  </w:style>
  <w:style w:type="paragraph" w:styleId="CommentSubject">
    <w:name w:val="annotation subject"/>
    <w:basedOn w:val="CommentText"/>
    <w:next w:val="CommentText"/>
    <w:link w:val="CommentSubjectChar"/>
    <w:uiPriority w:val="99"/>
    <w:semiHidden/>
    <w:unhideWhenUsed/>
    <w:rsid w:val="00EE03BD"/>
    <w:rPr>
      <w:b/>
      <w:bCs/>
      <w:sz w:val="20"/>
      <w:szCs w:val="20"/>
    </w:rPr>
  </w:style>
  <w:style w:type="character" w:customStyle="1" w:styleId="CommentSubjectChar">
    <w:name w:val="Comment Subject Char"/>
    <w:basedOn w:val="CommentTextChar"/>
    <w:link w:val="CommentSubject"/>
    <w:uiPriority w:val="99"/>
    <w:semiHidden/>
    <w:rsid w:val="00EE03BD"/>
    <w:rPr>
      <w:b/>
      <w:bCs/>
      <w:sz w:val="20"/>
      <w:szCs w:val="20"/>
    </w:rPr>
  </w:style>
  <w:style w:type="paragraph" w:styleId="BalloonText">
    <w:name w:val="Balloon Text"/>
    <w:basedOn w:val="Normal"/>
    <w:link w:val="BalloonTextChar"/>
    <w:uiPriority w:val="99"/>
    <w:semiHidden/>
    <w:unhideWhenUsed/>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rsid w:val="00EE03BD"/>
    <w:rPr>
      <w:rFonts w:ascii="Lucida Grande" w:hAnsi="Lucida Grande"/>
      <w:sz w:val="18"/>
      <w:szCs w:val="18"/>
    </w:rPr>
  </w:style>
  <w:style w:type="character" w:styleId="PlaceholderText">
    <w:name w:val="Placeholder Text"/>
    <w:basedOn w:val="DefaultParagraphFont"/>
    <w:uiPriority w:val="99"/>
    <w:semiHidden/>
    <w:rsid w:val="006512AF"/>
    <w:rPr>
      <w:color w:val="808080"/>
    </w:rPr>
  </w:style>
  <w:style w:type="table" w:styleId="TableGrid">
    <w:name w:val="Table Grid"/>
    <w:basedOn w:val="TableNormal"/>
    <w:uiPriority w:val="59"/>
    <w:rsid w:val="0011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02AC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02ACB"/>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E0"/>
    <w:rPr>
      <w:color w:val="0000FF" w:themeColor="hyperlink"/>
      <w:u w:val="single"/>
    </w:rPr>
  </w:style>
  <w:style w:type="paragraph" w:styleId="Header">
    <w:name w:val="header"/>
    <w:basedOn w:val="Normal"/>
    <w:link w:val="HeaderChar"/>
    <w:uiPriority w:val="99"/>
    <w:unhideWhenUsed/>
    <w:rsid w:val="00C113E7"/>
    <w:pPr>
      <w:tabs>
        <w:tab w:val="center" w:pos="4320"/>
        <w:tab w:val="right" w:pos="8640"/>
      </w:tabs>
    </w:pPr>
  </w:style>
  <w:style w:type="character" w:customStyle="1" w:styleId="HeaderChar">
    <w:name w:val="Header Char"/>
    <w:basedOn w:val="DefaultParagraphFont"/>
    <w:link w:val="Header"/>
    <w:uiPriority w:val="99"/>
    <w:rsid w:val="00C113E7"/>
  </w:style>
  <w:style w:type="paragraph" w:styleId="Footer">
    <w:name w:val="footer"/>
    <w:basedOn w:val="Normal"/>
    <w:link w:val="FooterChar"/>
    <w:uiPriority w:val="99"/>
    <w:unhideWhenUsed/>
    <w:rsid w:val="00C113E7"/>
    <w:pPr>
      <w:tabs>
        <w:tab w:val="center" w:pos="4320"/>
        <w:tab w:val="right" w:pos="8640"/>
      </w:tabs>
    </w:pPr>
  </w:style>
  <w:style w:type="character" w:customStyle="1" w:styleId="FooterChar">
    <w:name w:val="Footer Char"/>
    <w:basedOn w:val="DefaultParagraphFont"/>
    <w:link w:val="Footer"/>
    <w:uiPriority w:val="99"/>
    <w:rsid w:val="00C113E7"/>
  </w:style>
  <w:style w:type="character" w:styleId="CommentReference">
    <w:name w:val="annotation reference"/>
    <w:basedOn w:val="DefaultParagraphFont"/>
    <w:uiPriority w:val="99"/>
    <w:semiHidden/>
    <w:unhideWhenUsed/>
    <w:rsid w:val="00EE03BD"/>
    <w:rPr>
      <w:sz w:val="18"/>
      <w:szCs w:val="18"/>
    </w:rPr>
  </w:style>
  <w:style w:type="paragraph" w:styleId="CommentText">
    <w:name w:val="annotation text"/>
    <w:basedOn w:val="Normal"/>
    <w:link w:val="CommentTextChar"/>
    <w:uiPriority w:val="99"/>
    <w:semiHidden/>
    <w:unhideWhenUsed/>
    <w:rsid w:val="00EE03BD"/>
  </w:style>
  <w:style w:type="character" w:customStyle="1" w:styleId="CommentTextChar">
    <w:name w:val="Comment Text Char"/>
    <w:basedOn w:val="DefaultParagraphFont"/>
    <w:link w:val="CommentText"/>
    <w:uiPriority w:val="99"/>
    <w:semiHidden/>
    <w:rsid w:val="00EE03BD"/>
  </w:style>
  <w:style w:type="paragraph" w:styleId="CommentSubject">
    <w:name w:val="annotation subject"/>
    <w:basedOn w:val="CommentText"/>
    <w:next w:val="CommentText"/>
    <w:link w:val="CommentSubjectChar"/>
    <w:uiPriority w:val="99"/>
    <w:semiHidden/>
    <w:unhideWhenUsed/>
    <w:rsid w:val="00EE03BD"/>
    <w:rPr>
      <w:b/>
      <w:bCs/>
      <w:sz w:val="20"/>
      <w:szCs w:val="20"/>
    </w:rPr>
  </w:style>
  <w:style w:type="character" w:customStyle="1" w:styleId="CommentSubjectChar">
    <w:name w:val="Comment Subject Char"/>
    <w:basedOn w:val="CommentTextChar"/>
    <w:link w:val="CommentSubject"/>
    <w:uiPriority w:val="99"/>
    <w:semiHidden/>
    <w:rsid w:val="00EE03BD"/>
    <w:rPr>
      <w:b/>
      <w:bCs/>
      <w:sz w:val="20"/>
      <w:szCs w:val="20"/>
    </w:rPr>
  </w:style>
  <w:style w:type="paragraph" w:styleId="BalloonText">
    <w:name w:val="Balloon Text"/>
    <w:basedOn w:val="Normal"/>
    <w:link w:val="BalloonTextChar"/>
    <w:uiPriority w:val="99"/>
    <w:semiHidden/>
    <w:unhideWhenUsed/>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rsid w:val="00EE03BD"/>
    <w:rPr>
      <w:rFonts w:ascii="Lucida Grande" w:hAnsi="Lucida Grande"/>
      <w:sz w:val="18"/>
      <w:szCs w:val="18"/>
    </w:rPr>
  </w:style>
  <w:style w:type="character" w:styleId="PlaceholderText">
    <w:name w:val="Placeholder Text"/>
    <w:basedOn w:val="DefaultParagraphFont"/>
    <w:uiPriority w:val="99"/>
    <w:semiHidden/>
    <w:rsid w:val="006512AF"/>
    <w:rPr>
      <w:color w:val="808080"/>
    </w:rPr>
  </w:style>
  <w:style w:type="table" w:styleId="TableGrid">
    <w:name w:val="Table Grid"/>
    <w:basedOn w:val="TableNormal"/>
    <w:uiPriority w:val="59"/>
    <w:rsid w:val="0011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02AC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02AC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llgood@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E95E-60DD-4F1C-BD75-65773E6F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Cliff</dc:creator>
  <cp:lastModifiedBy>zaguiler</cp:lastModifiedBy>
  <cp:revision>2</cp:revision>
  <cp:lastPrinted>2013-07-15T17:50:00Z</cp:lastPrinted>
  <dcterms:created xsi:type="dcterms:W3CDTF">2013-08-07T14:32:00Z</dcterms:created>
  <dcterms:modified xsi:type="dcterms:W3CDTF">2013-08-07T14:32:00Z</dcterms:modified>
</cp:coreProperties>
</file>