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83153" w14:textId="24D07325" w:rsidR="002C2580" w:rsidRDefault="002C2580" w:rsidP="00C8116B">
      <w:pPr>
        <w:ind w:left="-180"/>
        <w:jc w:val="center"/>
        <w:outlineLvl w:val="0"/>
        <w:rPr>
          <w:b/>
          <w:sz w:val="32"/>
        </w:rPr>
      </w:pPr>
      <w:r>
        <w:rPr>
          <w:b/>
          <w:noProof/>
          <w:sz w:val="32"/>
        </w:rPr>
        <w:drawing>
          <wp:inline distT="0" distB="0" distL="0" distR="0" wp14:anchorId="6BDE137A" wp14:editId="12D0F567">
            <wp:extent cx="6531610" cy="32738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articleAbstract.png"/>
                    <pic:cNvPicPr/>
                  </pic:nvPicPr>
                  <pic:blipFill rotWithShape="1">
                    <a:blip r:embed="rId8">
                      <a:extLst>
                        <a:ext uri="{28A0092B-C50C-407E-A947-70E740481C1C}">
                          <a14:useLocalDpi xmlns:a14="http://schemas.microsoft.com/office/drawing/2010/main" val="0"/>
                        </a:ext>
                      </a:extLst>
                    </a:blip>
                    <a:srcRect b="40341"/>
                    <a:stretch/>
                  </pic:blipFill>
                  <pic:spPr bwMode="auto">
                    <a:xfrm>
                      <a:off x="0" y="0"/>
                      <a:ext cx="6534007" cy="3275080"/>
                    </a:xfrm>
                    <a:prstGeom prst="rect">
                      <a:avLst/>
                    </a:prstGeom>
                    <a:ln>
                      <a:noFill/>
                    </a:ln>
                    <a:extLst>
                      <a:ext uri="{53640926-AAD7-44d8-BBD7-CCE9431645EC}">
                        <a14:shadowObscured xmlns:a14="http://schemas.microsoft.com/office/drawing/2010/main"/>
                      </a:ext>
                    </a:extLst>
                  </pic:spPr>
                </pic:pic>
              </a:graphicData>
            </a:graphic>
          </wp:inline>
        </w:drawing>
      </w:r>
    </w:p>
    <w:p w14:paraId="29381692" w14:textId="36B28D81" w:rsidR="00CE6F7F" w:rsidRPr="00283B72" w:rsidRDefault="00114325" w:rsidP="00EA3349">
      <w:pPr>
        <w:spacing w:before="60"/>
        <w:jc w:val="center"/>
        <w:rPr>
          <w:color w:val="000000"/>
          <w:sz w:val="22"/>
        </w:rPr>
      </w:pPr>
      <w:r w:rsidRPr="00283B72">
        <w:rPr>
          <w:color w:val="000000"/>
          <w:sz w:val="22"/>
        </w:rPr>
        <w:t xml:space="preserve">Correspondence to: Mark E. Capron, </w:t>
      </w:r>
      <w:r w:rsidR="00CE6F7F" w:rsidRPr="00283B72">
        <w:rPr>
          <w:color w:val="000000"/>
          <w:sz w:val="22"/>
        </w:rPr>
        <w:t>PODenergy, 2436 E. Thompson Blvd., Ventura, C</w:t>
      </w:r>
      <w:r w:rsidR="00274DCB" w:rsidRPr="00283B72">
        <w:rPr>
          <w:color w:val="000000"/>
          <w:sz w:val="22"/>
        </w:rPr>
        <w:t>A</w:t>
      </w:r>
      <w:r w:rsidR="00CE6F7F" w:rsidRPr="00283B72">
        <w:rPr>
          <w:color w:val="000000"/>
          <w:sz w:val="22"/>
        </w:rPr>
        <w:t xml:space="preserve"> 93003</w:t>
      </w:r>
      <w:r w:rsidR="00274DCB" w:rsidRPr="00283B72">
        <w:rPr>
          <w:sz w:val="22"/>
        </w:rPr>
        <w:t>, United States</w:t>
      </w:r>
      <w:r w:rsidR="00CE6F7F" w:rsidRPr="00283B72">
        <w:rPr>
          <w:color w:val="000000"/>
          <w:sz w:val="22"/>
        </w:rPr>
        <w:t xml:space="preserve"> (</w:t>
      </w:r>
      <w:hyperlink r:id="rId9" w:history="1">
        <w:r w:rsidR="00CE4BA4" w:rsidRPr="00283B72">
          <w:rPr>
            <w:rStyle w:val="Hyperlink"/>
            <w:sz w:val="22"/>
          </w:rPr>
          <w:t>MarkCapron@PODenergy.net</w:t>
        </w:r>
      </w:hyperlink>
      <w:r w:rsidR="00CE6F7F" w:rsidRPr="00283B72">
        <w:rPr>
          <w:color w:val="000000"/>
          <w:sz w:val="22"/>
        </w:rPr>
        <w:t>)</w:t>
      </w:r>
      <w:r w:rsidRPr="00283B72">
        <w:rPr>
          <w:color w:val="000000"/>
          <w:sz w:val="22"/>
        </w:rPr>
        <w:t xml:space="preserve">, </w:t>
      </w:r>
      <w:r w:rsidR="00CE6F7F" w:rsidRPr="00283B72">
        <w:rPr>
          <w:color w:val="000000"/>
          <w:sz w:val="22"/>
        </w:rPr>
        <w:t>805-</w:t>
      </w:r>
      <w:r w:rsidR="005A5A6F" w:rsidRPr="00283B72">
        <w:rPr>
          <w:color w:val="000000"/>
          <w:sz w:val="22"/>
        </w:rPr>
        <w:t>760-1967</w:t>
      </w:r>
      <w:r w:rsidR="00CE6F7F" w:rsidRPr="00283B72">
        <w:rPr>
          <w:color w:val="000000"/>
          <w:sz w:val="22"/>
        </w:rPr>
        <w:t>, Fax: 805-639-0307</w:t>
      </w:r>
    </w:p>
    <w:p w14:paraId="486C18AA" w14:textId="77777777" w:rsidR="00EA3349" w:rsidRPr="00283B72" w:rsidRDefault="00EA3349" w:rsidP="0022399D">
      <w:pPr>
        <w:jc w:val="center"/>
        <w:outlineLvl w:val="0"/>
        <w:rPr>
          <w:b/>
          <w:sz w:val="18"/>
        </w:rPr>
      </w:pPr>
    </w:p>
    <w:p w14:paraId="42DD30BB" w14:textId="77777777" w:rsidR="00CE6F7F" w:rsidRPr="00A94315" w:rsidRDefault="00CE6F7F" w:rsidP="0022399D">
      <w:pPr>
        <w:jc w:val="center"/>
        <w:outlineLvl w:val="0"/>
        <w:rPr>
          <w:b/>
        </w:rPr>
      </w:pPr>
      <w:r w:rsidRPr="00EA3349">
        <w:rPr>
          <w:b/>
          <w:sz w:val="28"/>
        </w:rPr>
        <w:t>Abstract</w:t>
      </w:r>
    </w:p>
    <w:p w14:paraId="3AA35D43" w14:textId="77777777" w:rsidR="00CE6F7F" w:rsidRPr="00D71840" w:rsidRDefault="00CE6F7F" w:rsidP="00B50158">
      <w:pPr>
        <w:rPr>
          <w:sz w:val="18"/>
        </w:rPr>
      </w:pPr>
    </w:p>
    <w:p w14:paraId="283D9953" w14:textId="77777777" w:rsidR="00CE6F7F" w:rsidRPr="00A94315" w:rsidRDefault="00CE6F7F" w:rsidP="00A40E40">
      <w:pPr>
        <w:jc w:val="both"/>
        <w:rPr>
          <w:color w:val="000000"/>
        </w:rPr>
      </w:pPr>
      <w:r w:rsidRPr="00A94315">
        <w:rPr>
          <w:color w:val="000000"/>
        </w:rPr>
        <w:t xml:space="preserve">Ocean Afforestation, more precisely Ocean Macroalgal Afforestation (OMA), has the potential to reduce atmospheric carbon dioxide concentrations through expanding natural populations of </w:t>
      </w:r>
      <w:r w:rsidRPr="00A94315">
        <w:t>macroalgae, which absorb carbon dioxide, then are harvested</w:t>
      </w:r>
      <w:r w:rsidRPr="00A94315">
        <w:rPr>
          <w:color w:val="000000"/>
        </w:rPr>
        <w:t xml:space="preserve"> to produce biomethane and biocarbon dioxide via anaerobic digestion. The plant nutrients remaining after digestion are recycled to expand the algal forest and increase fish populations.  A mass balance has been calculated from known data and applied to produce a life cycle assessment and economic analysis.  This analysis shows the potential of Ocean Afforestation to produce 12 billion tons per year of biomethane while storing 19 billion tons of CO</w:t>
      </w:r>
      <w:r w:rsidRPr="00A94315">
        <w:rPr>
          <w:color w:val="000000"/>
          <w:vertAlign w:val="subscript"/>
        </w:rPr>
        <w:t>2</w:t>
      </w:r>
      <w:r w:rsidRPr="00A94315">
        <w:rPr>
          <w:color w:val="000000"/>
        </w:rPr>
        <w:t xml:space="preserve"> per year directly from biogas production, plus up to 34 billion tons per year from carbon capture of the biomethane combustion exhaust.  These rates are based on macro-algae forests covering 9% of the world’s ocean surface, which could produce sufficient biomethane to replace all of today’s needs in fossil fuel energy, while removing 53 billion tons of CO</w:t>
      </w:r>
      <w:r w:rsidRPr="00A94315">
        <w:rPr>
          <w:color w:val="000000"/>
          <w:vertAlign w:val="subscript"/>
        </w:rPr>
        <w:t>2</w:t>
      </w:r>
      <w:r w:rsidRPr="00A94315">
        <w:rPr>
          <w:color w:val="000000"/>
        </w:rPr>
        <w:t xml:space="preserve"> per year from the atmosphere, restoring pre-industrial levels. This amount of biomass could also increase sustainable fish production to potentially provide 200 kg/</w:t>
      </w:r>
      <w:proofErr w:type="spellStart"/>
      <w:r w:rsidRPr="00A94315">
        <w:rPr>
          <w:color w:val="000000"/>
        </w:rPr>
        <w:t>yr</w:t>
      </w:r>
      <w:proofErr w:type="spellEnd"/>
      <w:r w:rsidRPr="00A94315">
        <w:rPr>
          <w:color w:val="000000"/>
        </w:rPr>
        <w:t>/person for 10 billion people.  Additional benefits are reduction in ocean acidification and increased ocean primary productivity and biodiversity.</w:t>
      </w:r>
    </w:p>
    <w:p w14:paraId="5E2FD1A7" w14:textId="77777777" w:rsidR="00CE6F7F" w:rsidRPr="00A94315" w:rsidRDefault="00CE6F7F" w:rsidP="00A40E40">
      <w:pPr>
        <w:jc w:val="both"/>
        <w:rPr>
          <w:color w:val="000000"/>
        </w:rPr>
      </w:pPr>
    </w:p>
    <w:p w14:paraId="38F54915" w14:textId="77777777" w:rsidR="00CE6F7F" w:rsidRPr="00A94315" w:rsidRDefault="00CE6F7F" w:rsidP="0022399D">
      <w:pPr>
        <w:jc w:val="both"/>
        <w:outlineLvl w:val="0"/>
        <w:rPr>
          <w:b/>
        </w:rPr>
      </w:pPr>
      <w:r w:rsidRPr="00A94315">
        <w:rPr>
          <w:b/>
        </w:rPr>
        <w:t>1.0</w:t>
      </w:r>
      <w:r w:rsidRPr="00A94315">
        <w:rPr>
          <w:b/>
        </w:rPr>
        <w:tab/>
        <w:t>Introduction</w:t>
      </w:r>
    </w:p>
    <w:p w14:paraId="35016D8A" w14:textId="77777777" w:rsidR="00CE6F7F" w:rsidRPr="008D76FF" w:rsidRDefault="00CE6F7F" w:rsidP="00A40E40">
      <w:pPr>
        <w:jc w:val="both"/>
        <w:rPr>
          <w:b/>
          <w:sz w:val="16"/>
        </w:rPr>
      </w:pPr>
    </w:p>
    <w:p w14:paraId="12D428D8" w14:textId="77777777" w:rsidR="00CE6F7F" w:rsidRPr="00A94315" w:rsidRDefault="00CE6F7F" w:rsidP="00A40E40">
      <w:pPr>
        <w:jc w:val="both"/>
      </w:pPr>
      <w:r w:rsidRPr="00A94315">
        <w:t>Removing the major atmospheric greenhouse gas carbon dioxide is a priority in order to reduce global warming, ocean acidification and sea level rise, which threaten human civilization as well as animal and plant life on our planet.  Given the need for such negative carbon technology on a scale at least equal to current anthropomorphic carbon emissions, the proposed capture technologies must be sustainable at scale in every sense of the word.</w:t>
      </w:r>
    </w:p>
    <w:p w14:paraId="6347D680" w14:textId="77777777" w:rsidR="008D76FF" w:rsidRPr="00FB0DBD" w:rsidRDefault="008D76FF" w:rsidP="00FB0DBD">
      <w:pPr>
        <w:ind w:left="360"/>
        <w:jc w:val="both"/>
        <w:rPr>
          <w:b/>
          <w:sz w:val="14"/>
        </w:rPr>
      </w:pPr>
    </w:p>
    <w:p w14:paraId="6C62B3E5" w14:textId="77777777" w:rsidR="00CE6F7F" w:rsidRPr="00A94315" w:rsidRDefault="00CE6F7F" w:rsidP="00A40E40">
      <w:pPr>
        <w:numPr>
          <w:ilvl w:val="0"/>
          <w:numId w:val="14"/>
        </w:numPr>
        <w:jc w:val="both"/>
        <w:rPr>
          <w:color w:val="101010"/>
        </w:rPr>
      </w:pPr>
      <w:r w:rsidRPr="00A94315">
        <w:rPr>
          <w:color w:val="101010"/>
        </w:rPr>
        <w:t>Environmental sustainability at scale implies addressing issues beyond carbon air capture such as: species biodiversity, food, and energy.</w:t>
      </w:r>
    </w:p>
    <w:p w14:paraId="219C4DE8" w14:textId="77777777" w:rsidR="00CE6F7F" w:rsidRPr="00A94315" w:rsidRDefault="00CE6F7F" w:rsidP="00DA0549">
      <w:pPr>
        <w:numPr>
          <w:ilvl w:val="0"/>
          <w:numId w:val="14"/>
        </w:numPr>
        <w:spacing w:after="60"/>
        <w:jc w:val="both"/>
        <w:rPr>
          <w:color w:val="101010"/>
        </w:rPr>
      </w:pPr>
      <w:r w:rsidRPr="00A94315">
        <w:rPr>
          <w:color w:val="101010"/>
        </w:rPr>
        <w:t>Climate sustainability with increased greenhouse gas concentrations implies a robust and distributed process that is neither affected by nor a cause of droughts, floods, heat, cold, changing wind patterns, and ocean acidification.</w:t>
      </w:r>
    </w:p>
    <w:p w14:paraId="04657E8C" w14:textId="77777777" w:rsidR="00CE6F7F" w:rsidRPr="00A94315" w:rsidRDefault="00CE6F7F" w:rsidP="00DA0549">
      <w:pPr>
        <w:numPr>
          <w:ilvl w:val="0"/>
          <w:numId w:val="14"/>
        </w:numPr>
        <w:spacing w:after="60"/>
        <w:jc w:val="both"/>
        <w:rPr>
          <w:color w:val="101010"/>
        </w:rPr>
      </w:pPr>
      <w:r w:rsidRPr="00A94315">
        <w:rPr>
          <w:color w:val="101010"/>
        </w:rPr>
        <w:lastRenderedPageBreak/>
        <w:t>Political sustainability requires improving the quality of life and opportunities globally, and particularly in developing countries.</w:t>
      </w:r>
    </w:p>
    <w:p w14:paraId="44B47C5A" w14:textId="77777777" w:rsidR="00CE6F7F" w:rsidRPr="00A94315" w:rsidRDefault="00CE6F7F" w:rsidP="00DA0549">
      <w:pPr>
        <w:numPr>
          <w:ilvl w:val="0"/>
          <w:numId w:val="14"/>
        </w:numPr>
        <w:spacing w:after="60"/>
        <w:jc w:val="both"/>
        <w:rPr>
          <w:color w:val="101010"/>
        </w:rPr>
      </w:pPr>
      <w:r w:rsidRPr="00A94315">
        <w:rPr>
          <w:color w:val="101010"/>
        </w:rPr>
        <w:t>Social sustainability means countering the water, food, jobs, and natural disaster stresses of climate change, with no negative side effects.</w:t>
      </w:r>
    </w:p>
    <w:p w14:paraId="5B136B13" w14:textId="77777777" w:rsidR="00CE6F7F" w:rsidRPr="00A94315" w:rsidRDefault="00CE6F7F" w:rsidP="00DA0549">
      <w:pPr>
        <w:numPr>
          <w:ilvl w:val="0"/>
          <w:numId w:val="14"/>
        </w:numPr>
        <w:spacing w:after="60"/>
        <w:jc w:val="both"/>
        <w:rPr>
          <w:color w:val="101010"/>
        </w:rPr>
      </w:pPr>
      <w:r w:rsidRPr="00A94315">
        <w:rPr>
          <w:color w:val="101010"/>
        </w:rPr>
        <w:t>Energy sustainability implies much more carbon is permanently stored than is required to generate the energy to pull the carbon from the air and store it.</w:t>
      </w:r>
    </w:p>
    <w:p w14:paraId="12FFA4B4" w14:textId="77777777" w:rsidR="00CE6F7F" w:rsidRPr="00A94315" w:rsidRDefault="00CE6F7F" w:rsidP="00A40E40">
      <w:pPr>
        <w:numPr>
          <w:ilvl w:val="0"/>
          <w:numId w:val="14"/>
        </w:numPr>
        <w:jc w:val="both"/>
        <w:rPr>
          <w:color w:val="101010"/>
        </w:rPr>
      </w:pPr>
      <w:r w:rsidRPr="00A94315">
        <w:rPr>
          <w:color w:val="101010"/>
        </w:rPr>
        <w:t>Economic sustainability with current low carbon prices requires multiple products from the process so the overall system makes a profit.</w:t>
      </w:r>
    </w:p>
    <w:p w14:paraId="745E36F9" w14:textId="77777777" w:rsidR="00CE6F7F" w:rsidRPr="008D76FF" w:rsidRDefault="00CE6F7F" w:rsidP="00A40E40">
      <w:pPr>
        <w:jc w:val="both"/>
        <w:rPr>
          <w:color w:val="101010"/>
          <w:sz w:val="18"/>
        </w:rPr>
      </w:pPr>
    </w:p>
    <w:p w14:paraId="5D6FE764" w14:textId="77777777" w:rsidR="00CE6F7F" w:rsidRPr="00A94315" w:rsidRDefault="00CE6F7F" w:rsidP="00A40E40">
      <w:pPr>
        <w:jc w:val="both"/>
        <w:rPr>
          <w:b/>
        </w:rPr>
      </w:pPr>
      <w:r w:rsidRPr="00A94315">
        <w:rPr>
          <w:color w:val="101010"/>
        </w:rPr>
        <w:t>All of the above are possible by operating a novel technologically accelerated natural ocean ecosystem, which we have termed “Ocean Afforestation” or more technically “Ocean Macroalgal Afforestation” (OMA) because it is based on forests of macroalgae (kelp and other seaweeds).</w:t>
      </w:r>
      <w:r w:rsidRPr="00A94315">
        <w:rPr>
          <w:rStyle w:val="FootnoteReference"/>
          <w:color w:val="101010"/>
        </w:rPr>
        <w:footnoteReference w:id="1"/>
      </w:r>
      <w:r w:rsidRPr="00A94315">
        <w:rPr>
          <w:color w:val="101010"/>
        </w:rPr>
        <w:t xml:space="preserve"> In OMA, the energy inputs and outputs use the same pathways as in nature (photosynthesis, digestion, decomposition).  What differs in OMA is that that digestion products are captured and separated, with the energy (carbon and hydrogen) set apart from the plant nutrients (nitrogen, phosphorus, potassium, sulfur, iron, etc.).  Hence, an OMA ecosystem is almost a typical natural macro-algae ecosystem.  The main difference is that the plant nutrients are captured and recycled at the surface to grow more plants, instead of dropping below the light level for millennia on the seafloor or traveling thousands of kilometers in subsurface ocean currents before surfacing.</w:t>
      </w:r>
    </w:p>
    <w:p w14:paraId="290CC7C3" w14:textId="77777777" w:rsidR="00CE6F7F" w:rsidRPr="00A94315" w:rsidRDefault="00CE6F7F" w:rsidP="00A40E40">
      <w:pPr>
        <w:jc w:val="both"/>
        <w:rPr>
          <w:color w:val="101010"/>
        </w:rPr>
      </w:pPr>
    </w:p>
    <w:p w14:paraId="6A5854E9" w14:textId="77777777" w:rsidR="00CE6F7F" w:rsidRPr="00A94315" w:rsidRDefault="00CE6F7F" w:rsidP="0022399D">
      <w:pPr>
        <w:jc w:val="both"/>
        <w:outlineLvl w:val="0"/>
        <w:rPr>
          <w:b/>
          <w:color w:val="101010"/>
        </w:rPr>
      </w:pPr>
      <w:r w:rsidRPr="00A94315">
        <w:rPr>
          <w:b/>
          <w:color w:val="101010"/>
        </w:rPr>
        <w:t>2.0</w:t>
      </w:r>
      <w:r w:rsidRPr="00A94315">
        <w:rPr>
          <w:b/>
          <w:color w:val="101010"/>
        </w:rPr>
        <w:tab/>
        <w:t>Historic discussions of macroalgae energy</w:t>
      </w:r>
    </w:p>
    <w:p w14:paraId="1B39EE7F" w14:textId="77777777" w:rsidR="008D76FF" w:rsidRPr="008D76FF" w:rsidRDefault="008D76FF" w:rsidP="008D76FF">
      <w:pPr>
        <w:jc w:val="both"/>
        <w:rPr>
          <w:b/>
          <w:sz w:val="16"/>
        </w:rPr>
      </w:pPr>
    </w:p>
    <w:p w14:paraId="77032B48" w14:textId="77777777" w:rsidR="00CE6F7F" w:rsidRPr="00A94315" w:rsidRDefault="00CE6F7F" w:rsidP="00E94C8B">
      <w:pPr>
        <w:jc w:val="both"/>
        <w:rPr>
          <w:color w:val="101010"/>
        </w:rPr>
      </w:pPr>
      <w:r w:rsidRPr="00A94315">
        <w:rPr>
          <w:color w:val="101010"/>
        </w:rPr>
        <w:t>Thousands of researchers and businesses have unknowingly been developing technologies related to Ocean Afforestation for decades.  OMA is a combination of concepts and technologies from marine agronomy, integrated multi-trophic aquaculture, ocean thermal energy conversion, the offshore oil industry, marine sanctuaries, municipal wastewater treatment, seaweed farming, and more.  Even so, thousands of researchers, engineers, and multiple businesses will be necessary for decades integrating those existing technologies and refining new technologies for Ocean Afforestation ecosystems.</w:t>
      </w:r>
    </w:p>
    <w:p w14:paraId="4FA05846" w14:textId="77777777" w:rsidR="00CE6F7F" w:rsidRPr="00A94315" w:rsidRDefault="00CE6F7F" w:rsidP="00A40E40">
      <w:pPr>
        <w:jc w:val="both"/>
        <w:rPr>
          <w:color w:val="101010"/>
        </w:rPr>
      </w:pPr>
    </w:p>
    <w:p w14:paraId="55675DA7" w14:textId="77777777" w:rsidR="00CE6F7F" w:rsidRPr="00A94315" w:rsidRDefault="00CE6F7F" w:rsidP="00A40E40">
      <w:pPr>
        <w:jc w:val="both"/>
        <w:rPr>
          <w:color w:val="101010"/>
        </w:rPr>
      </w:pPr>
      <w:r w:rsidRPr="00A94315">
        <w:rPr>
          <w:color w:val="101010"/>
        </w:rPr>
        <w:t xml:space="preserve">Recently, the large ocean area available and the high photo-efficiency of marine vegetation have prompted discussions of algae and other plankton as a sink for </w:t>
      </w:r>
      <w:r w:rsidRPr="00A94315">
        <w:t>anthropogenic carbon emissions or as feedstock for biofuels.  In “Blue Carbon” Nellemann et al. (2009) point</w:t>
      </w:r>
      <w:r w:rsidRPr="00A94315">
        <w:rPr>
          <w:color w:val="101010"/>
        </w:rPr>
        <w:t xml:space="preserve"> out that marine primary producers contribute at least 50% of the world’s carbon fixation and may account for as much as 71% of all carbon storage in oceanic sediments.  Potential annual yields per hectare of many of the highly productive macroalgal species are considerably higher than those of the terrestrial plants considered useful candidates for biofuel production (Chung, et al., 2010).  Many researchers are looking seriously at macroalgae for energy production, such as Stanley and colleagues at BioMara (Day, et al., 2011), </w:t>
      </w:r>
      <w:r w:rsidRPr="00A94315">
        <w:rPr>
          <w:color w:val="000000"/>
        </w:rPr>
        <w:t>Oilgae (2011), Roesijadi, et al. (2008, 2010), Bruton, et al. (2009), L</w:t>
      </w:r>
      <w:r w:rsidRPr="00A94315">
        <w:rPr>
          <w:color w:val="000000"/>
          <w:spacing w:val="-1"/>
        </w:rPr>
        <w:t>e</w:t>
      </w:r>
      <w:r w:rsidRPr="00A94315">
        <w:rPr>
          <w:color w:val="000000"/>
        </w:rPr>
        <w:t>nstr</w:t>
      </w:r>
      <w:r w:rsidRPr="00A94315">
        <w:rPr>
          <w:color w:val="000000"/>
          <w:spacing w:val="-1"/>
        </w:rPr>
        <w:t>a</w:t>
      </w:r>
      <w:r w:rsidRPr="00A94315">
        <w:rPr>
          <w:bCs/>
          <w:color w:val="000000"/>
        </w:rPr>
        <w:t xml:space="preserve">, et al. (2011) </w:t>
      </w:r>
      <w:r w:rsidRPr="00A94315">
        <w:rPr>
          <w:color w:val="000000"/>
        </w:rPr>
        <w:t>and references therein</w:t>
      </w:r>
      <w:r w:rsidRPr="00A94315">
        <w:rPr>
          <w:bCs/>
          <w:color w:val="000000"/>
        </w:rPr>
        <w:t>.</w:t>
      </w:r>
    </w:p>
    <w:p w14:paraId="187F3B22" w14:textId="77777777" w:rsidR="008D76FF" w:rsidRPr="008D76FF" w:rsidRDefault="008D76FF" w:rsidP="008D76FF">
      <w:pPr>
        <w:jc w:val="both"/>
        <w:rPr>
          <w:b/>
          <w:sz w:val="16"/>
        </w:rPr>
      </w:pPr>
    </w:p>
    <w:p w14:paraId="5BC2260E" w14:textId="77777777" w:rsidR="00CE6F7F" w:rsidRPr="00A94315" w:rsidRDefault="00CE6F7F" w:rsidP="00AF5048">
      <w:pPr>
        <w:jc w:val="both"/>
        <w:rPr>
          <w:color w:val="101010"/>
        </w:rPr>
      </w:pPr>
      <w:r w:rsidRPr="00A94315">
        <w:rPr>
          <w:color w:val="000000"/>
        </w:rPr>
        <w:t xml:space="preserve">Chynoweth’s review article (2002) indicates that the productivity and digestibility of </w:t>
      </w:r>
      <w:r w:rsidRPr="00A94315">
        <w:rPr>
          <w:color w:val="101010"/>
        </w:rPr>
        <w:t>macroalgae to produce large quantities of biomethane have been well established by many researchers over many decades.</w:t>
      </w:r>
      <w:r w:rsidRPr="00A94315">
        <w:rPr>
          <w:color w:val="000000"/>
        </w:rPr>
        <w:t xml:space="preserve">  He also reports that Hanisak (1981) has shown the feasibility of nutrient recycling for sustainability.  He recommends generating income from</w:t>
      </w:r>
      <w:r w:rsidRPr="00A94315">
        <w:rPr>
          <w:rFonts w:cs="Arial"/>
          <w:color w:val="000000"/>
        </w:rPr>
        <w:t xml:space="preserve"> co-products and by-products to reduce the cost of the biomethane to be competitive with U.S. natural gas prices.</w:t>
      </w:r>
      <w:r w:rsidRPr="00A94315">
        <w:rPr>
          <w:color w:val="000000"/>
        </w:rPr>
        <w:t xml:space="preserve"> OMA proposes two additional </w:t>
      </w:r>
      <w:r w:rsidRPr="00A94315">
        <w:rPr>
          <w:rFonts w:cs="Arial"/>
          <w:color w:val="000000"/>
        </w:rPr>
        <w:lastRenderedPageBreak/>
        <w:t>co-products, fish and carbon sequestration, which make OMA currently economic for many developing nations, especially those using high-priced diesel fuel to make electricity.  Other by-products, s</w:t>
      </w:r>
      <w:bookmarkStart w:id="0" w:name="_GoBack"/>
      <w:bookmarkEnd w:id="0"/>
      <w:r w:rsidRPr="00A94315">
        <w:rPr>
          <w:rFonts w:cs="Arial"/>
          <w:color w:val="000000"/>
        </w:rPr>
        <w:t xml:space="preserve">uch as liquid fuels, agar, </w:t>
      </w:r>
      <w:r w:rsidRPr="00A94315">
        <w:rPr>
          <w:color w:val="000000"/>
        </w:rPr>
        <w:t>carrageenans</w:t>
      </w:r>
      <w:r w:rsidRPr="00A94315">
        <w:rPr>
          <w:rFonts w:cs="Arial"/>
          <w:color w:val="000000"/>
        </w:rPr>
        <w:t>, algin, etc., have not been analyzed for this paper.</w:t>
      </w:r>
    </w:p>
    <w:p w14:paraId="423AD6F4" w14:textId="77777777" w:rsidR="00CE6F7F" w:rsidRPr="00A94315" w:rsidRDefault="00CE6F7F" w:rsidP="00A40E40">
      <w:pPr>
        <w:jc w:val="both"/>
        <w:rPr>
          <w:color w:val="101010"/>
        </w:rPr>
      </w:pPr>
    </w:p>
    <w:p w14:paraId="66552FBF" w14:textId="77777777" w:rsidR="00CE6F7F" w:rsidRPr="00A94315" w:rsidRDefault="00CE6F7F" w:rsidP="0022399D">
      <w:pPr>
        <w:jc w:val="both"/>
        <w:outlineLvl w:val="0"/>
        <w:rPr>
          <w:b/>
        </w:rPr>
      </w:pPr>
      <w:r w:rsidRPr="00A94315">
        <w:rPr>
          <w:b/>
        </w:rPr>
        <w:t>3.0</w:t>
      </w:r>
      <w:r w:rsidRPr="00A94315">
        <w:rPr>
          <w:b/>
        </w:rPr>
        <w:tab/>
        <w:t xml:space="preserve">Objectives for Ocean Afforestation </w:t>
      </w:r>
      <w:r w:rsidRPr="00A94315">
        <w:rPr>
          <w:color w:val="000000"/>
        </w:rPr>
        <w:t xml:space="preserve">   </w:t>
      </w:r>
    </w:p>
    <w:p w14:paraId="640C3548" w14:textId="77777777" w:rsidR="008D76FF" w:rsidRPr="008D76FF" w:rsidRDefault="008D76FF" w:rsidP="008D76FF">
      <w:pPr>
        <w:jc w:val="both"/>
        <w:rPr>
          <w:b/>
          <w:sz w:val="16"/>
        </w:rPr>
      </w:pPr>
    </w:p>
    <w:p w14:paraId="710743D7" w14:textId="77777777" w:rsidR="00CE6F7F" w:rsidRPr="00A94315" w:rsidRDefault="00CE6F7F" w:rsidP="00A40E40">
      <w:pPr>
        <w:jc w:val="both"/>
        <w:rPr>
          <w:color w:val="000000"/>
        </w:rPr>
      </w:pPr>
      <w:r w:rsidRPr="00A94315">
        <w:rPr>
          <w:color w:val="000000"/>
        </w:rPr>
        <w:t>The sustainable nature of Ocean Afforestation makes the following primary objective theoretically possible: completely offset anthropomorphic CO</w:t>
      </w:r>
      <w:r w:rsidRPr="00A94315">
        <w:rPr>
          <w:color w:val="000000"/>
          <w:vertAlign w:val="subscript"/>
        </w:rPr>
        <w:t>2</w:t>
      </w:r>
      <w:r w:rsidRPr="00A94315">
        <w:rPr>
          <w:color w:val="000000"/>
        </w:rPr>
        <w:t xml:space="preserve"> emissions by 2035 and then restore the climate by reducing atmospheric CO</w:t>
      </w:r>
      <w:r w:rsidRPr="00A94315">
        <w:rPr>
          <w:color w:val="000000"/>
          <w:vertAlign w:val="subscript"/>
        </w:rPr>
        <w:t>2</w:t>
      </w:r>
      <w:r w:rsidRPr="00A94315">
        <w:rPr>
          <w:color w:val="000000"/>
        </w:rPr>
        <w:t xml:space="preserve"> concentrations below 350 ppm by about 2085.  These ambitious but achievable timelines are discussed later.</w:t>
      </w:r>
    </w:p>
    <w:p w14:paraId="4364F242" w14:textId="77777777" w:rsidR="008D76FF" w:rsidRPr="008D76FF" w:rsidRDefault="008D76FF" w:rsidP="008D76FF">
      <w:pPr>
        <w:jc w:val="both"/>
        <w:rPr>
          <w:b/>
          <w:sz w:val="16"/>
        </w:rPr>
      </w:pPr>
    </w:p>
    <w:p w14:paraId="46FB32B9" w14:textId="77777777" w:rsidR="00CE6F7F" w:rsidRPr="00A94315" w:rsidRDefault="00CE6F7F" w:rsidP="00EA0D3C">
      <w:pPr>
        <w:spacing w:after="60"/>
      </w:pPr>
      <w:r w:rsidRPr="00A94315">
        <w:t>There are three “steps” within the OMA ecosystem to accomplish this objective:</w:t>
      </w:r>
    </w:p>
    <w:p w14:paraId="2DD5D074" w14:textId="77777777" w:rsidR="00CE6F7F" w:rsidRPr="00A94315" w:rsidRDefault="00CE6F7F" w:rsidP="00EA0D3C">
      <w:pPr>
        <w:pStyle w:val="ListParagraph"/>
        <w:numPr>
          <w:ilvl w:val="0"/>
          <w:numId w:val="19"/>
        </w:numPr>
        <w:spacing w:after="60"/>
      </w:pPr>
      <w:r w:rsidRPr="00A94315">
        <w:t>The biologic portion (seaweed and seaweed-digesting microbes) of OMA, concentrates carbon from about 0.04% CO</w:t>
      </w:r>
      <w:r w:rsidRPr="00A94315">
        <w:rPr>
          <w:vertAlign w:val="subscript"/>
        </w:rPr>
        <w:t>2</w:t>
      </w:r>
      <w:r w:rsidRPr="00A94315">
        <w:t xml:space="preserve"> in air to 40% bio-CO</w:t>
      </w:r>
      <w:r w:rsidRPr="00A94315">
        <w:rPr>
          <w:vertAlign w:val="subscript"/>
        </w:rPr>
        <w:t>2</w:t>
      </w:r>
      <w:r w:rsidRPr="00A94315">
        <w:t xml:space="preserve"> and 60% bio-methane.  </w:t>
      </w:r>
    </w:p>
    <w:p w14:paraId="7EAAC588" w14:textId="77777777" w:rsidR="00CE6F7F" w:rsidRPr="00A94315" w:rsidRDefault="00CE6F7F" w:rsidP="00EA0D3C">
      <w:pPr>
        <w:pStyle w:val="ListParagraph"/>
        <w:numPr>
          <w:ilvl w:val="0"/>
          <w:numId w:val="19"/>
        </w:numPr>
        <w:spacing w:after="60"/>
      </w:pPr>
      <w:r w:rsidRPr="00A94315">
        <w:t>Any of several chemical and physical technologies, including differential dissolution, pressure swing absorption, gas membranes, chemical extraction, metal-organic frameworks, etc. are available to separate out (purify) the bio-CO</w:t>
      </w:r>
      <w:r w:rsidRPr="00A94315">
        <w:rPr>
          <w:vertAlign w:val="subscript"/>
        </w:rPr>
        <w:t>2</w:t>
      </w:r>
      <w:r w:rsidRPr="00A94315">
        <w:t xml:space="preserve"> directly from the anaerobic digestion and the combustion-CO</w:t>
      </w:r>
      <w:r w:rsidRPr="00A94315">
        <w:rPr>
          <w:vertAlign w:val="subscript"/>
        </w:rPr>
        <w:t>2</w:t>
      </w:r>
      <w:r w:rsidRPr="00A94315">
        <w:t xml:space="preserve"> from combustion exhaust gases; and</w:t>
      </w:r>
    </w:p>
    <w:p w14:paraId="7868F8F9" w14:textId="77777777" w:rsidR="00CE6F7F" w:rsidRPr="00A94315" w:rsidRDefault="00CE6F7F" w:rsidP="005A4217">
      <w:pPr>
        <w:pStyle w:val="ListParagraph"/>
        <w:numPr>
          <w:ilvl w:val="0"/>
          <w:numId w:val="19"/>
        </w:numPr>
      </w:pPr>
      <w:r w:rsidRPr="00A94315">
        <w:t>Any of several geophysical and geochemical technologies permanently store pure CO</w:t>
      </w:r>
      <w:r w:rsidRPr="00A94315">
        <w:rPr>
          <w:vertAlign w:val="subscript"/>
        </w:rPr>
        <w:t>2</w:t>
      </w:r>
      <w:r w:rsidRPr="00A94315">
        <w:t xml:space="preserve">.  </w:t>
      </w:r>
      <w:proofErr w:type="gramStart"/>
      <w:r w:rsidRPr="00A94315">
        <w:t>Some are being developed by others, in addition to the one proposed in this paper</w:t>
      </w:r>
      <w:proofErr w:type="gramEnd"/>
      <w:r w:rsidRPr="00A94315">
        <w:t xml:space="preserve">. </w:t>
      </w:r>
    </w:p>
    <w:p w14:paraId="6E247159" w14:textId="77777777" w:rsidR="00CE6F7F" w:rsidRPr="008D76FF" w:rsidRDefault="00CE6F7F" w:rsidP="00A40E40">
      <w:pPr>
        <w:jc w:val="both"/>
        <w:rPr>
          <w:color w:val="000000"/>
          <w:sz w:val="18"/>
        </w:rPr>
      </w:pPr>
    </w:p>
    <w:p w14:paraId="071D5E25" w14:textId="77777777" w:rsidR="00CE6F7F" w:rsidRPr="00A94315" w:rsidRDefault="00CE6F7F" w:rsidP="00EA0D3C">
      <w:pPr>
        <w:spacing w:after="60"/>
        <w:jc w:val="both"/>
        <w:rPr>
          <w:color w:val="000000"/>
        </w:rPr>
      </w:pPr>
      <w:r w:rsidRPr="00A94315">
        <w:rPr>
          <w:color w:val="000000"/>
        </w:rPr>
        <w:t>Sub-objectives for Ocean Afforestation include:</w:t>
      </w:r>
    </w:p>
    <w:p w14:paraId="0CB159D5" w14:textId="77777777" w:rsidR="00CE6F7F" w:rsidRPr="00A94315" w:rsidRDefault="00CE6F7F" w:rsidP="00EA0D3C">
      <w:pPr>
        <w:numPr>
          <w:ilvl w:val="0"/>
          <w:numId w:val="13"/>
        </w:numPr>
        <w:tabs>
          <w:tab w:val="clear" w:pos="720"/>
        </w:tabs>
        <w:spacing w:after="60"/>
        <w:ind w:left="360"/>
        <w:jc w:val="both"/>
        <w:rPr>
          <w:color w:val="000000"/>
        </w:rPr>
      </w:pPr>
      <w:r w:rsidRPr="00A94315">
        <w:rPr>
          <w:color w:val="000000"/>
        </w:rPr>
        <w:t>Create sanctuaries with regionally higher ocean pH.  Since the oceans have absorbed approximately half of human-caused CO</w:t>
      </w:r>
      <w:r w:rsidRPr="00A94315">
        <w:rPr>
          <w:color w:val="000000"/>
          <w:vertAlign w:val="subscript"/>
        </w:rPr>
        <w:t>2</w:t>
      </w:r>
      <w:r w:rsidRPr="00A94315">
        <w:rPr>
          <w:color w:val="000000"/>
        </w:rPr>
        <w:t xml:space="preserve"> emissions (</w:t>
      </w:r>
      <w:r w:rsidRPr="00A94315">
        <w:rPr>
          <w:color w:val="101010"/>
        </w:rPr>
        <w:t xml:space="preserve">Sabine, et al., </w:t>
      </w:r>
      <w:r w:rsidRPr="00A94315">
        <w:t>2004</w:t>
      </w:r>
      <w:r w:rsidRPr="00A94315">
        <w:rPr>
          <w:color w:val="000000"/>
        </w:rPr>
        <w:t>) the oceans are rapidly acidifying and, in a relatively short time (2050 by projections, such as the Monaco Declaration, 2008), it will be inhospitable to many ecologically essential forms of life that rely on calcification, such as corals, marine mollusks and coralline algae (for example, Barton, et al. (2012) discuss oyster hatchery mortality).  Ocean Afforestation could reduce atmospheric and dissolved CO</w:t>
      </w:r>
      <w:r w:rsidRPr="00A94315">
        <w:rPr>
          <w:color w:val="000000"/>
          <w:vertAlign w:val="subscript"/>
        </w:rPr>
        <w:t>2</w:t>
      </w:r>
      <w:r w:rsidRPr="00A94315">
        <w:rPr>
          <w:color w:val="000000"/>
        </w:rPr>
        <w:t xml:space="preserve"> concentrations in the area of the macroalgal forest; in much the same way that atmospheric CO</w:t>
      </w:r>
      <w:r w:rsidRPr="00A94315">
        <w:rPr>
          <w:color w:val="000000"/>
          <w:vertAlign w:val="subscript"/>
        </w:rPr>
        <w:t>2</w:t>
      </w:r>
      <w:r w:rsidRPr="00A94315">
        <w:rPr>
          <w:color w:val="000000"/>
        </w:rPr>
        <w:t xml:space="preserve"> is reduced in terrestrial agricultural regions (Miles, et al., 2012).  </w:t>
      </w:r>
    </w:p>
    <w:p w14:paraId="0ACFF030" w14:textId="77777777" w:rsidR="00CE6F7F" w:rsidRPr="00A94315" w:rsidRDefault="00CE6F7F" w:rsidP="00EA0D3C">
      <w:pPr>
        <w:numPr>
          <w:ilvl w:val="0"/>
          <w:numId w:val="13"/>
        </w:numPr>
        <w:tabs>
          <w:tab w:val="clear" w:pos="720"/>
        </w:tabs>
        <w:spacing w:after="60"/>
        <w:ind w:left="360"/>
        <w:jc w:val="both"/>
        <w:rPr>
          <w:color w:val="000000"/>
        </w:rPr>
      </w:pPr>
      <w:r w:rsidRPr="00A94315">
        <w:rPr>
          <w:color w:val="000000"/>
        </w:rPr>
        <w:t xml:space="preserve">Increase ocean biodiversity and primary productivity starting within the OMA areas. </w:t>
      </w:r>
    </w:p>
    <w:p w14:paraId="663E1091" w14:textId="77777777" w:rsidR="00CE6F7F" w:rsidRPr="00A94315" w:rsidRDefault="00CE6F7F" w:rsidP="00EA0D3C">
      <w:pPr>
        <w:numPr>
          <w:ilvl w:val="0"/>
          <w:numId w:val="13"/>
        </w:numPr>
        <w:tabs>
          <w:tab w:val="clear" w:pos="720"/>
        </w:tabs>
        <w:spacing w:after="60"/>
        <w:ind w:left="360"/>
        <w:jc w:val="both"/>
        <w:rPr>
          <w:color w:val="000000"/>
        </w:rPr>
      </w:pPr>
      <w:r w:rsidRPr="00A94315">
        <w:rPr>
          <w:color w:val="000000"/>
        </w:rPr>
        <w:t>Produce higher value pharmaceuticals, chemicals, food, and fish/animal feed from the macro-algae to satisfy human needs.</w:t>
      </w:r>
    </w:p>
    <w:p w14:paraId="760E6E2D" w14:textId="77777777" w:rsidR="00CE6F7F" w:rsidRPr="00A94315" w:rsidRDefault="00CE6F7F" w:rsidP="00A40E40">
      <w:pPr>
        <w:numPr>
          <w:ilvl w:val="0"/>
          <w:numId w:val="13"/>
        </w:numPr>
        <w:tabs>
          <w:tab w:val="clear" w:pos="720"/>
        </w:tabs>
        <w:ind w:left="360"/>
        <w:jc w:val="both"/>
        <w:rPr>
          <w:color w:val="000000"/>
        </w:rPr>
      </w:pPr>
      <w:r w:rsidRPr="00A94315">
        <w:rPr>
          <w:color w:val="000000"/>
        </w:rPr>
        <w:t>Produce environmentally and economically sustainable on-going renewable energy, thus preserving fossil fuels to provide chemicals for future generations, while providing income for maintaining the stored CO</w:t>
      </w:r>
      <w:r w:rsidRPr="00A94315">
        <w:rPr>
          <w:color w:val="000000"/>
          <w:vertAlign w:val="subscript"/>
        </w:rPr>
        <w:t>2</w:t>
      </w:r>
      <w:r w:rsidRPr="00A94315">
        <w:rPr>
          <w:color w:val="000000"/>
        </w:rPr>
        <w:t xml:space="preserve">. </w:t>
      </w:r>
    </w:p>
    <w:p w14:paraId="22A5BCF2" w14:textId="77777777" w:rsidR="00CE6F7F" w:rsidRPr="008D76FF" w:rsidRDefault="00CE6F7F" w:rsidP="00221528">
      <w:pPr>
        <w:jc w:val="both"/>
        <w:rPr>
          <w:color w:val="000000"/>
          <w:sz w:val="18"/>
        </w:rPr>
      </w:pPr>
    </w:p>
    <w:p w14:paraId="153F9C35" w14:textId="350B5100" w:rsidR="00CE6F7F" w:rsidRPr="00A94315" w:rsidRDefault="00CE6F7F" w:rsidP="00F55579">
      <w:pPr>
        <w:jc w:val="both"/>
        <w:rPr>
          <w:color w:val="000000"/>
        </w:rPr>
      </w:pPr>
      <w:r w:rsidRPr="00A94315">
        <w:rPr>
          <w:color w:val="000000"/>
        </w:rPr>
        <w:t>These objectives are designed to be ambitious to match the urgency of the situation.  If humans do not remove CO</w:t>
      </w:r>
      <w:r w:rsidRPr="00A94315">
        <w:rPr>
          <w:color w:val="000000"/>
          <w:vertAlign w:val="subscript"/>
        </w:rPr>
        <w:t>2</w:t>
      </w:r>
      <w:r w:rsidRPr="00A94315">
        <w:rPr>
          <w:color w:val="000000"/>
        </w:rPr>
        <w:t xml:space="preserve"> with OMA or other carbon storage technologies, the excess CO</w:t>
      </w:r>
      <w:r w:rsidRPr="00A94315">
        <w:rPr>
          <w:color w:val="000000"/>
          <w:vertAlign w:val="subscript"/>
        </w:rPr>
        <w:t>2</w:t>
      </w:r>
      <w:r w:rsidRPr="00A94315">
        <w:rPr>
          <w:color w:val="000000"/>
        </w:rPr>
        <w:t xml:space="preserve"> will persist, lowering the oceanic pH and raising global temperatures for a millennium, even if the world shifts rapidly to non-fossil fuels, such as solar, wind and geothermal energy, or even nuclear power.</w:t>
      </w:r>
    </w:p>
    <w:p w14:paraId="6D37C47D" w14:textId="77777777" w:rsidR="00FB0DBD" w:rsidRDefault="00FB0DBD">
      <w:pPr>
        <w:rPr>
          <w:b/>
        </w:rPr>
      </w:pPr>
      <w:r>
        <w:rPr>
          <w:b/>
        </w:rPr>
        <w:br w:type="page"/>
      </w:r>
    </w:p>
    <w:p w14:paraId="44586AF4" w14:textId="29779FBC" w:rsidR="00CE6F7F" w:rsidRPr="00A94315" w:rsidRDefault="00CE6F7F" w:rsidP="0022399D">
      <w:pPr>
        <w:jc w:val="both"/>
        <w:outlineLvl w:val="0"/>
        <w:rPr>
          <w:b/>
        </w:rPr>
      </w:pPr>
      <w:r w:rsidRPr="00A94315">
        <w:rPr>
          <w:b/>
        </w:rPr>
        <w:lastRenderedPageBreak/>
        <w:t>4.0</w:t>
      </w:r>
      <w:r w:rsidRPr="00A94315">
        <w:rPr>
          <w:b/>
        </w:rPr>
        <w:tab/>
        <w:t>The Ocean Afforestation Ecosystem</w:t>
      </w:r>
    </w:p>
    <w:p w14:paraId="73FD6078" w14:textId="77777777" w:rsidR="00AE510C" w:rsidRPr="008D76FF" w:rsidRDefault="00AE510C" w:rsidP="00AE510C">
      <w:pPr>
        <w:jc w:val="both"/>
        <w:rPr>
          <w:b/>
          <w:sz w:val="16"/>
        </w:rPr>
      </w:pPr>
    </w:p>
    <w:p w14:paraId="598FC46E" w14:textId="77777777" w:rsidR="00CE6F7F" w:rsidRPr="00A94315" w:rsidRDefault="00C92EC8" w:rsidP="00F55579">
      <w:pPr>
        <w:widowControl w:val="0"/>
        <w:autoSpaceDE w:val="0"/>
        <w:autoSpaceDN w:val="0"/>
        <w:adjustRightInd w:val="0"/>
        <w:jc w:val="both"/>
        <w:rPr>
          <w:b/>
        </w:rPr>
      </w:pPr>
      <w:r w:rsidRPr="00A94315">
        <w:rPr>
          <w:noProof/>
        </w:rPr>
        <w:drawing>
          <wp:anchor distT="0" distB="0" distL="114300" distR="114300" simplePos="0" relativeHeight="251657728" behindDoc="1" locked="0" layoutInCell="1" allowOverlap="1" wp14:anchorId="0085CA78" wp14:editId="27B51139">
            <wp:simplePos x="0" y="0"/>
            <wp:positionH relativeFrom="column">
              <wp:posOffset>0</wp:posOffset>
            </wp:positionH>
            <wp:positionV relativeFrom="paragraph">
              <wp:align>outside</wp:align>
            </wp:positionV>
            <wp:extent cx="5943600" cy="4457700"/>
            <wp:effectExtent l="25400" t="25400" r="25400" b="38100"/>
            <wp:wrapTight wrapText="bothSides">
              <wp:wrapPolygon edited="0">
                <wp:start x="-92" y="-123"/>
                <wp:lineTo x="-92" y="21662"/>
                <wp:lineTo x="21600" y="21662"/>
                <wp:lineTo x="21600" y="-123"/>
                <wp:lineTo x="-92" y="-123"/>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6F8E38" w14:textId="77777777" w:rsidR="00CE6F7F" w:rsidRPr="00A94315" w:rsidRDefault="00CE6F7F" w:rsidP="00DA4F04">
      <w:pPr>
        <w:widowControl w:val="0"/>
        <w:autoSpaceDE w:val="0"/>
        <w:autoSpaceDN w:val="0"/>
        <w:adjustRightInd w:val="0"/>
        <w:jc w:val="both"/>
      </w:pPr>
      <w:r w:rsidRPr="00A94315">
        <w:t xml:space="preserve">The flow chart for the OMA ecosystem has the major components labeled to the numbered sections below.  This manuscript was prepared primarily to explain the nutrient, energy, and carbon removal mass balance for Ocean Afforestation ecosystems.  Work on economic feasibility is </w:t>
      </w:r>
      <w:proofErr w:type="gramStart"/>
      <w:r w:rsidRPr="00A94315">
        <w:t>on-going</w:t>
      </w:r>
      <w:proofErr w:type="gramEnd"/>
      <w:r w:rsidRPr="00A94315">
        <w:t xml:space="preserve"> with a discussion of preliminary results in this manuscript and in the supplemental data.   See the online supplementary information file “OMA Process Concepts” for more details of the materials and energy demands within a conceptual ecosystem.</w:t>
      </w:r>
    </w:p>
    <w:p w14:paraId="01AFE785" w14:textId="77777777" w:rsidR="00CE6F7F" w:rsidRPr="00A94315" w:rsidRDefault="00CE6F7F" w:rsidP="00F55579">
      <w:pPr>
        <w:widowControl w:val="0"/>
        <w:autoSpaceDE w:val="0"/>
        <w:autoSpaceDN w:val="0"/>
        <w:adjustRightInd w:val="0"/>
        <w:jc w:val="both"/>
        <w:rPr>
          <w:b/>
        </w:rPr>
      </w:pPr>
    </w:p>
    <w:p w14:paraId="54517F74" w14:textId="36F89956" w:rsidR="00CE6F7F" w:rsidRPr="00A94315" w:rsidRDefault="00CE6F7F" w:rsidP="00F55579">
      <w:pPr>
        <w:widowControl w:val="0"/>
        <w:autoSpaceDE w:val="0"/>
        <w:autoSpaceDN w:val="0"/>
        <w:adjustRightInd w:val="0"/>
        <w:jc w:val="both"/>
        <w:rPr>
          <w:color w:val="000000"/>
        </w:rPr>
      </w:pPr>
      <w:r w:rsidRPr="00A94315">
        <w:rPr>
          <w:b/>
        </w:rPr>
        <w:t>4.1 Grow aquatic plants, absorbing CO</w:t>
      </w:r>
      <w:r w:rsidRPr="00A94315">
        <w:rPr>
          <w:b/>
          <w:vertAlign w:val="subscript"/>
        </w:rPr>
        <w:t>2</w:t>
      </w:r>
      <w:r w:rsidRPr="00A94315">
        <w:t xml:space="preserve">: Sunlight powers aquatic plants (primarily macro-algae or seaweed) to grow anywhere in the top few meters of the world’s oceans, as long as there are sufficient nutrients.  Where there are insufficient nutrients, there are fewer plants.  That is, much of the ocean is a nutrient desert.  Presently, seaweeds grow mainly where nutrients are available from upwelling ocean currents or terrestrial runoff. </w:t>
      </w:r>
      <w:r w:rsidRPr="00A94315">
        <w:rPr>
          <w:color w:val="000000"/>
        </w:rPr>
        <w:t>An extensive analysis of harvest production data for many macroalgae from around the world (Gao</w:t>
      </w:r>
      <w:r w:rsidR="00756E64" w:rsidRPr="00A94315">
        <w:rPr>
          <w:color w:val="000000"/>
        </w:rPr>
        <w:t xml:space="preserve"> et al.</w:t>
      </w:r>
      <w:r w:rsidRPr="00A94315">
        <w:rPr>
          <w:color w:val="000000"/>
        </w:rPr>
        <w:t xml:space="preserve">, 1991; Chung et al., 2010; Oilgae, 2011; Roesijadi et al., 2008, 2010; Bruton et al., 2009; </w:t>
      </w:r>
      <w:r w:rsidRPr="00A94315">
        <w:rPr>
          <w:bCs/>
          <w:color w:val="000000"/>
        </w:rPr>
        <w:t xml:space="preserve">Lenstra et al., 2011; </w:t>
      </w:r>
      <w:r w:rsidRPr="00A94315">
        <w:rPr>
          <w:color w:val="000000"/>
        </w:rPr>
        <w:t>and references therein</w:t>
      </w:r>
      <w:r w:rsidRPr="00A94315">
        <w:rPr>
          <w:bCs/>
          <w:color w:val="000000"/>
        </w:rPr>
        <w:t>)</w:t>
      </w:r>
      <w:r w:rsidRPr="00A94315">
        <w:rPr>
          <w:color w:val="000000"/>
        </w:rPr>
        <w:t xml:space="preserve"> indicates a conservative harvestable projection of about 18 ash-free tons per hectare per year, providing sufficient nutrients are available.  Note that Table 28 of Chynoweth (2002) reports</w:t>
      </w:r>
      <w:r w:rsidR="00BA34E2" w:rsidRPr="00A94315">
        <w:rPr>
          <w:color w:val="000000"/>
        </w:rPr>
        <w:t xml:space="preserve"> yields of 11 – 50 ash-free t</w:t>
      </w:r>
      <w:r w:rsidRPr="00A94315">
        <w:rPr>
          <w:color w:val="000000"/>
        </w:rPr>
        <w:t>/ha/</w:t>
      </w:r>
      <w:proofErr w:type="spellStart"/>
      <w:r w:rsidRPr="00A94315">
        <w:rPr>
          <w:color w:val="000000"/>
        </w:rPr>
        <w:t>yr</w:t>
      </w:r>
      <w:proofErr w:type="spellEnd"/>
      <w:r w:rsidRPr="00A94315">
        <w:rPr>
          <w:color w:val="000000"/>
        </w:rPr>
        <w:t xml:space="preserve"> are reasonable.  More examination of the validity of 18</w:t>
      </w:r>
      <w:r w:rsidR="000B1E98" w:rsidRPr="00A94315">
        <w:rPr>
          <w:color w:val="000000"/>
        </w:rPr>
        <w:t xml:space="preserve"> ash-free t</w:t>
      </w:r>
      <w:r w:rsidRPr="00A94315">
        <w:rPr>
          <w:color w:val="000000"/>
        </w:rPr>
        <w:t>/ha/</w:t>
      </w:r>
      <w:proofErr w:type="spellStart"/>
      <w:r w:rsidRPr="00A94315">
        <w:rPr>
          <w:color w:val="000000"/>
        </w:rPr>
        <w:t>yr</w:t>
      </w:r>
      <w:proofErr w:type="spellEnd"/>
      <w:r w:rsidRPr="00A94315">
        <w:rPr>
          <w:color w:val="000000"/>
        </w:rPr>
        <w:t xml:space="preserve"> is included in the online supplementary information, “Discussion of Macroalgae Production and Density.”</w:t>
      </w:r>
    </w:p>
    <w:p w14:paraId="55937070" w14:textId="77777777" w:rsidR="00CE6F7F" w:rsidRPr="00A94315" w:rsidRDefault="00CE6F7F" w:rsidP="00F55579">
      <w:pPr>
        <w:widowControl w:val="0"/>
        <w:autoSpaceDE w:val="0"/>
        <w:autoSpaceDN w:val="0"/>
        <w:adjustRightInd w:val="0"/>
        <w:jc w:val="both"/>
        <w:rPr>
          <w:color w:val="000000"/>
        </w:rPr>
      </w:pPr>
    </w:p>
    <w:p w14:paraId="144D6DBA" w14:textId="77777777" w:rsidR="00CE6F7F" w:rsidRPr="00A94315" w:rsidRDefault="00CE6F7F" w:rsidP="00F55579">
      <w:pPr>
        <w:widowControl w:val="0"/>
        <w:autoSpaceDE w:val="0"/>
        <w:autoSpaceDN w:val="0"/>
        <w:adjustRightInd w:val="0"/>
        <w:jc w:val="both"/>
      </w:pPr>
      <w:r w:rsidRPr="00A94315">
        <w:rPr>
          <w:b/>
          <w:color w:val="000000"/>
        </w:rPr>
        <w:t xml:space="preserve">4.2 Harvest aquatic plants: </w:t>
      </w:r>
      <w:r w:rsidRPr="00A94315">
        <w:rPr>
          <w:color w:val="000000"/>
        </w:rPr>
        <w:t xml:space="preserve">There are many current cultivation and harvesting techniques depending on the type of macro-algae and climate, as documented by </w:t>
      </w:r>
      <w:r w:rsidRPr="00A94315">
        <w:rPr>
          <w:color w:val="231F20"/>
        </w:rPr>
        <w:t>Pereira and Yarish (2008)</w:t>
      </w:r>
      <w:r w:rsidRPr="00A94315">
        <w:rPr>
          <w:color w:val="000000"/>
        </w:rPr>
        <w:t>.  OMA can better achieve its objectives of sustainability by harvesting small portions of the overall forest throughout the year.  This may involve “mowing” the top meter of seafloor-rooted kelp, or encircling clumps of free-</w:t>
      </w:r>
      <w:r w:rsidRPr="00A94315">
        <w:rPr>
          <w:color w:val="000000"/>
        </w:rPr>
        <w:lastRenderedPageBreak/>
        <w:t xml:space="preserve">floating </w:t>
      </w:r>
      <w:r w:rsidRPr="00A94315">
        <w:rPr>
          <w:i/>
          <w:color w:val="000000"/>
        </w:rPr>
        <w:t>Sargassum</w:t>
      </w:r>
      <w:r w:rsidRPr="00A94315">
        <w:rPr>
          <w:color w:val="000000"/>
        </w:rPr>
        <w:t xml:space="preserve"> in an ocean gyre, or cutting strips of </w:t>
      </w:r>
      <w:r w:rsidRPr="00A94315">
        <w:rPr>
          <w:i/>
          <w:color w:val="000000"/>
        </w:rPr>
        <w:t>Gracilaria</w:t>
      </w:r>
      <w:r w:rsidRPr="00A94315">
        <w:rPr>
          <w:color w:val="000000"/>
        </w:rPr>
        <w:t xml:space="preserve"> in a tropical island bay.  </w:t>
      </w:r>
      <w:r w:rsidRPr="00A94315">
        <w:rPr>
          <w:rFonts w:ascii="Times" w:hAnsi="Times"/>
          <w:color w:val="000000"/>
        </w:rPr>
        <w:t xml:space="preserve">The sustainable harvest fraction depends on local climate conditions, species rate of growth, added nutrition from shore runoff, storms, etc.  It could vary from year to year. Since the harvest fraction in any </w:t>
      </w:r>
      <w:proofErr w:type="gramStart"/>
      <w:r w:rsidRPr="00A94315">
        <w:rPr>
          <w:rFonts w:ascii="Times" w:hAnsi="Times"/>
          <w:color w:val="000000"/>
        </w:rPr>
        <w:t>one year</w:t>
      </w:r>
      <w:proofErr w:type="gramEnd"/>
      <w:r w:rsidRPr="00A94315">
        <w:rPr>
          <w:rFonts w:ascii="Times" w:hAnsi="Times"/>
          <w:color w:val="000000"/>
        </w:rPr>
        <w:t xml:space="preserve"> could range from 40% to 90%, we have projected a reasonable average as 75%</w:t>
      </w:r>
      <w:r w:rsidRPr="00A94315">
        <w:rPr>
          <w:color w:val="000000"/>
        </w:rPr>
        <w:t>. The harvesting techniques will be optimized for low energy consumption.  For example, t</w:t>
      </w:r>
      <w:r w:rsidRPr="00A94315">
        <w:t>he harvested biomass would be moved distances up to about 6 kilometers at speeds less than 0.3 kilometers/hour to the energy conversion/nutrient separation digestion location.</w:t>
      </w:r>
    </w:p>
    <w:p w14:paraId="797747C4" w14:textId="77777777" w:rsidR="00CE6F7F" w:rsidRPr="00A94315" w:rsidRDefault="00CE6F7F" w:rsidP="00F55579">
      <w:pPr>
        <w:widowControl w:val="0"/>
        <w:autoSpaceDE w:val="0"/>
        <w:autoSpaceDN w:val="0"/>
        <w:adjustRightInd w:val="0"/>
        <w:jc w:val="both"/>
        <w:rPr>
          <w:color w:val="000000"/>
        </w:rPr>
      </w:pPr>
    </w:p>
    <w:p w14:paraId="70092A2E" w14:textId="77777777" w:rsidR="00CE6F7F" w:rsidRPr="00A94315" w:rsidRDefault="00CE6F7F" w:rsidP="002314C1">
      <w:pPr>
        <w:ind w:left="-18"/>
        <w:jc w:val="both"/>
      </w:pPr>
      <w:r w:rsidRPr="00A94315">
        <w:rPr>
          <w:b/>
        </w:rPr>
        <w:t>4.3 Digest the aquatic plants anaerobically</w:t>
      </w:r>
      <w:r w:rsidRPr="00A94315">
        <w:t>: The harvested plants are taken through processes that separate their energy from their plant nutrients.  Our calculations are based on microbial anaerobic digestion in submerged geosynthetic containers.  No energy is wasted to lift the seaweeds out of the water or dry the algae for combustion or squeeze out oil.  The calculations are based on an average 2% solids input to the digestion container although 1% solids may be economically feasible.</w:t>
      </w:r>
    </w:p>
    <w:p w14:paraId="5A6AC431" w14:textId="77777777" w:rsidR="00AE510C" w:rsidRPr="008D76FF" w:rsidRDefault="00AE510C" w:rsidP="00AE510C">
      <w:pPr>
        <w:jc w:val="both"/>
        <w:rPr>
          <w:b/>
          <w:sz w:val="16"/>
        </w:rPr>
      </w:pPr>
    </w:p>
    <w:p w14:paraId="721A62EE" w14:textId="77777777" w:rsidR="00CE6F7F" w:rsidRPr="00A94315" w:rsidRDefault="00CE6F7F" w:rsidP="002314C1">
      <w:pPr>
        <w:ind w:left="-18"/>
        <w:jc w:val="both"/>
      </w:pPr>
      <w:r w:rsidRPr="00A94315">
        <w:t>The analysis is based on energy saving features that are not typical for anaerobic digestion when volume and time are expensive, such as at a municipal wastewater treatment plant.  Not lifting the seaweed out of the water is one such energy saver.  Not removing all the excess water surrounding the seaweed is another.  (Seaweed has about 10 – 15% total solids when the external water is drained from the plants (Chynoweth, 2002).)  Not heating or mixing the digester also saves energy.  The trade-off for using less energy is having more time and volume available.  We are projecting nearly complete digestion over an average period of 135 days.  The online supplementary information file “OMA Calculations Supplement” provides more detailed information.</w:t>
      </w:r>
    </w:p>
    <w:p w14:paraId="4CF57B85" w14:textId="77777777" w:rsidR="00AE510C" w:rsidRPr="008D76FF" w:rsidRDefault="00AE510C" w:rsidP="00AE510C">
      <w:pPr>
        <w:jc w:val="both"/>
        <w:rPr>
          <w:b/>
          <w:sz w:val="16"/>
        </w:rPr>
      </w:pPr>
    </w:p>
    <w:p w14:paraId="6343A989" w14:textId="77777777" w:rsidR="00CE6F7F" w:rsidRPr="00A94315" w:rsidRDefault="00CE6F7F" w:rsidP="002314C1">
      <w:pPr>
        <w:ind w:left="-18"/>
        <w:jc w:val="both"/>
      </w:pPr>
      <w:r w:rsidRPr="00A94315">
        <w:t>Our calculations are based on direct anaerobic digestion which produces biogas that is about 60% CH</w:t>
      </w:r>
      <w:r w:rsidRPr="00A94315">
        <w:rPr>
          <w:vertAlign w:val="subscript"/>
        </w:rPr>
        <w:t>4</w:t>
      </w:r>
      <w:r w:rsidRPr="00A94315">
        <w:t xml:space="preserve"> and 40% CO</w:t>
      </w:r>
      <w:r w:rsidRPr="00A94315">
        <w:rPr>
          <w:vertAlign w:val="subscript"/>
        </w:rPr>
        <w:t>2</w:t>
      </w:r>
      <w:r w:rsidRPr="00A94315">
        <w:t>, by volume (Chynoweth, 2002).  We term this bio-CO</w:t>
      </w:r>
      <w:r w:rsidRPr="00A94315">
        <w:rPr>
          <w:vertAlign w:val="subscript"/>
        </w:rPr>
        <w:t>2</w:t>
      </w:r>
      <w:r w:rsidRPr="00A94315">
        <w:t xml:space="preserve"> to distinguish it from the combustion-CO</w:t>
      </w:r>
      <w:r w:rsidRPr="00A94315">
        <w:rPr>
          <w:vertAlign w:val="subscript"/>
        </w:rPr>
        <w:t>2</w:t>
      </w:r>
      <w:r w:rsidRPr="00A94315">
        <w:t xml:space="preserve"> that is produced during CH</w:t>
      </w:r>
      <w:r w:rsidRPr="00A94315">
        <w:rPr>
          <w:vertAlign w:val="subscript"/>
        </w:rPr>
        <w:t>4</w:t>
      </w:r>
      <w:r w:rsidRPr="00A94315">
        <w:t xml:space="preserve"> combustion.  The Ocean Afforestation ecosystem could work with first doing other renewable energy processes, such as: oil squeezing, ethanol fermentation, and other such energy extraction processes, or product extraction, such as carrageenans, to improve the economics.  When the waste from these other processes is fed to anaerobic digestion, the production of bio-CO</w:t>
      </w:r>
      <w:r w:rsidRPr="00A94315">
        <w:rPr>
          <w:vertAlign w:val="subscript"/>
        </w:rPr>
        <w:t>2</w:t>
      </w:r>
      <w:r w:rsidRPr="00A94315">
        <w:t xml:space="preserve"> would be less, but the amount of key plant nutrients recovered for recycling can be similar.</w:t>
      </w:r>
    </w:p>
    <w:p w14:paraId="35CBDE96" w14:textId="77777777" w:rsidR="00CE6F7F" w:rsidRPr="00A94315" w:rsidRDefault="00CE6F7F" w:rsidP="00F55579">
      <w:pPr>
        <w:widowControl w:val="0"/>
        <w:autoSpaceDE w:val="0"/>
        <w:autoSpaceDN w:val="0"/>
        <w:adjustRightInd w:val="0"/>
        <w:jc w:val="both"/>
        <w:rPr>
          <w:b/>
        </w:rPr>
      </w:pPr>
    </w:p>
    <w:p w14:paraId="6926F6F5" w14:textId="77777777" w:rsidR="00CE6F7F" w:rsidRPr="00A94315" w:rsidRDefault="00CE6F7F" w:rsidP="00F55579">
      <w:pPr>
        <w:jc w:val="both"/>
      </w:pPr>
      <w:r w:rsidRPr="00A94315">
        <w:rPr>
          <w:b/>
        </w:rPr>
        <w:t>4.4 Recover the separated bio-CO</w:t>
      </w:r>
      <w:r w:rsidRPr="00A94315">
        <w:rPr>
          <w:b/>
          <w:vertAlign w:val="subscript"/>
        </w:rPr>
        <w:t>2</w:t>
      </w:r>
      <w:r w:rsidRPr="00A94315">
        <w:rPr>
          <w:b/>
        </w:rPr>
        <w:t xml:space="preserve"> and bio-CH</w:t>
      </w:r>
      <w:r w:rsidRPr="00A94315">
        <w:rPr>
          <w:b/>
          <w:vertAlign w:val="subscript"/>
        </w:rPr>
        <w:t>4</w:t>
      </w:r>
      <w:r w:rsidRPr="00A94315">
        <w:t>:  When employing a differential dissolution technique, the tops of the geosynthetic digestion containers are held below about 100 meters (10 bar pressure).  Our calculations are based on 200 meters depth where most of the carbon dioxide remains dissolved with the nutrients in the water inside the container.  But relatively little methane dissolves.  We expect the gas collected will be about 90% CH</w:t>
      </w:r>
      <w:r w:rsidRPr="00A94315">
        <w:rPr>
          <w:vertAlign w:val="subscript"/>
        </w:rPr>
        <w:t>4</w:t>
      </w:r>
      <w:r w:rsidRPr="00A94315">
        <w:t xml:space="preserve"> and 10% CO</w:t>
      </w:r>
      <w:r w:rsidRPr="00A94315">
        <w:rPr>
          <w:vertAlign w:val="subscript"/>
        </w:rPr>
        <w:t>2</w:t>
      </w:r>
      <w:r w:rsidRPr="00A94315">
        <w:t xml:space="preserve"> at the 200 meter depth when interpolating from equilibrium dissolved gas concentrations identified by (</w:t>
      </w:r>
      <w:r w:rsidRPr="00A94315">
        <w:rPr>
          <w:rFonts w:eastAsia="MS Minngs"/>
          <w:color w:val="000000"/>
        </w:rPr>
        <w:t xml:space="preserve">Van der Meer, 2005; </w:t>
      </w:r>
      <w:r w:rsidRPr="00A94315">
        <w:rPr>
          <w:color w:val="000000"/>
        </w:rPr>
        <w:t>Duan and Mao, 2006</w:t>
      </w:r>
      <w:r w:rsidRPr="00A94315">
        <w:t>) and adjusting for partial pressure effects.  Small amounts of H</w:t>
      </w:r>
      <w:r w:rsidRPr="00A94315">
        <w:rPr>
          <w:vertAlign w:val="subscript"/>
        </w:rPr>
        <w:t>2</w:t>
      </w:r>
      <w:r w:rsidRPr="00A94315">
        <w:t>S and N</w:t>
      </w:r>
      <w:r w:rsidRPr="00A94315">
        <w:rPr>
          <w:vertAlign w:val="subscript"/>
        </w:rPr>
        <w:t>2</w:t>
      </w:r>
      <w:r w:rsidRPr="00A94315">
        <w:t>O will remain dissolved.  Deeper containers would return higher purity of CH</w:t>
      </w:r>
      <w:r w:rsidRPr="00A94315">
        <w:rPr>
          <w:vertAlign w:val="subscript"/>
        </w:rPr>
        <w:t>4</w:t>
      </w:r>
      <w:r w:rsidRPr="00A94315">
        <w:t>, perhaps better than 90%, but limited by partial pressure effects.</w:t>
      </w:r>
    </w:p>
    <w:p w14:paraId="0090707E" w14:textId="77777777" w:rsidR="00AE510C" w:rsidRPr="008D76FF" w:rsidRDefault="00AE510C" w:rsidP="00AE510C">
      <w:pPr>
        <w:jc w:val="both"/>
        <w:rPr>
          <w:b/>
          <w:sz w:val="16"/>
        </w:rPr>
      </w:pPr>
    </w:p>
    <w:p w14:paraId="384A3D88" w14:textId="77777777" w:rsidR="00CE6F7F" w:rsidRPr="00A94315" w:rsidRDefault="00CE6F7F" w:rsidP="00F55579">
      <w:pPr>
        <w:jc w:val="both"/>
        <w:rPr>
          <w:color w:val="000000"/>
        </w:rPr>
      </w:pPr>
      <w:r w:rsidRPr="00A94315">
        <w:t>Even CH</w:t>
      </w:r>
      <w:r w:rsidRPr="00A94315">
        <w:rPr>
          <w:vertAlign w:val="subscript"/>
        </w:rPr>
        <w:t>4</w:t>
      </w:r>
      <w:r w:rsidRPr="00A94315">
        <w:t>:CO</w:t>
      </w:r>
      <w:r w:rsidRPr="00A94315">
        <w:rPr>
          <w:vertAlign w:val="subscript"/>
        </w:rPr>
        <w:t>2</w:t>
      </w:r>
      <w:r w:rsidRPr="00A94315">
        <w:t xml:space="preserve"> ratios as low as 1:1 may be combusted as-is to produce electricity.  Higher than about 95% CH</w:t>
      </w:r>
      <w:r w:rsidRPr="00A94315">
        <w:rPr>
          <w:vertAlign w:val="subscript"/>
        </w:rPr>
        <w:t>4</w:t>
      </w:r>
      <w:r w:rsidRPr="00A94315">
        <w:t xml:space="preserve"> purity gases may be shipped as natural gas (depending on local requirements).  B</w:t>
      </w:r>
      <w:r w:rsidRPr="00A94315">
        <w:rPr>
          <w:color w:val="000000"/>
        </w:rPr>
        <w:t>io-CH</w:t>
      </w:r>
      <w:r w:rsidRPr="00A94315">
        <w:rPr>
          <w:vertAlign w:val="subscript"/>
        </w:rPr>
        <w:t>4</w:t>
      </w:r>
      <w:r w:rsidRPr="00A94315">
        <w:rPr>
          <w:color w:val="000000"/>
        </w:rPr>
        <w:t xml:space="preserve"> can be converted into many products: synthetic diesel, methanol, jet fuel, plastics to make more OA facilities, etc.</w:t>
      </w:r>
    </w:p>
    <w:p w14:paraId="13276E24" w14:textId="77777777" w:rsidR="00CE6F7F" w:rsidRPr="00A94315" w:rsidRDefault="00CE6F7F" w:rsidP="00F55579">
      <w:pPr>
        <w:jc w:val="both"/>
        <w:rPr>
          <w:color w:val="000000"/>
        </w:rPr>
      </w:pPr>
    </w:p>
    <w:p w14:paraId="6AB9057C" w14:textId="77777777" w:rsidR="00CE6F7F" w:rsidRPr="00A94315" w:rsidRDefault="00CE6F7F" w:rsidP="00F55579">
      <w:pPr>
        <w:jc w:val="both"/>
      </w:pPr>
      <w:r w:rsidRPr="00A94315">
        <w:rPr>
          <w:color w:val="000000"/>
        </w:rPr>
        <w:t>The differential dissolution separation of bio-CO</w:t>
      </w:r>
      <w:r w:rsidRPr="00A94315">
        <w:rPr>
          <w:vertAlign w:val="subscript"/>
        </w:rPr>
        <w:t>2</w:t>
      </w:r>
      <w:r w:rsidRPr="00A94315">
        <w:rPr>
          <w:color w:val="000000"/>
        </w:rPr>
        <w:t xml:space="preserve"> and bio-CH</w:t>
      </w:r>
      <w:r w:rsidRPr="00A94315">
        <w:rPr>
          <w:vertAlign w:val="subscript"/>
        </w:rPr>
        <w:t>4</w:t>
      </w:r>
      <w:r w:rsidRPr="00A94315">
        <w:rPr>
          <w:color w:val="000000"/>
        </w:rPr>
        <w:t xml:space="preserve"> is but one of several options for concentrating the bio-CO</w:t>
      </w:r>
      <w:r w:rsidRPr="00A94315">
        <w:rPr>
          <w:vertAlign w:val="subscript"/>
        </w:rPr>
        <w:t>2</w:t>
      </w:r>
      <w:r w:rsidRPr="00A94315">
        <w:rPr>
          <w:color w:val="000000"/>
        </w:rPr>
        <w:t xml:space="preserve">.  Other technologies are typically employed at </w:t>
      </w:r>
      <w:r w:rsidRPr="00A94315">
        <w:t>natural gas wellheads: membrane separation and pressure swing adsorption, for example.</w:t>
      </w:r>
    </w:p>
    <w:p w14:paraId="403836B7" w14:textId="77777777" w:rsidR="00AE510C" w:rsidRPr="008D76FF" w:rsidRDefault="00AE510C" w:rsidP="00AE510C">
      <w:pPr>
        <w:jc w:val="both"/>
        <w:rPr>
          <w:b/>
          <w:sz w:val="16"/>
        </w:rPr>
      </w:pPr>
    </w:p>
    <w:p w14:paraId="4389C399" w14:textId="02FC9FAA" w:rsidR="00CE6F7F" w:rsidRPr="00A94315" w:rsidRDefault="00CE6F7F" w:rsidP="00F55579">
      <w:pPr>
        <w:jc w:val="both"/>
        <w:rPr>
          <w:color w:val="000000"/>
        </w:rPr>
      </w:pPr>
      <w:r w:rsidRPr="00A94315">
        <w:t>More details of the arrangements preventing inadvertent CH</w:t>
      </w:r>
      <w:r w:rsidRPr="00A94315">
        <w:rPr>
          <w:vertAlign w:val="subscript"/>
        </w:rPr>
        <w:t>4</w:t>
      </w:r>
      <w:r w:rsidRPr="00A94315">
        <w:t xml:space="preserve"> release are included in the online supplementary information file “OMA Process Concepts.”  An analysis showing the likely effect of </w:t>
      </w:r>
      <w:r w:rsidRPr="00A94315">
        <w:lastRenderedPageBreak/>
        <w:t>potential N</w:t>
      </w:r>
      <w:r w:rsidRPr="00A94315">
        <w:rPr>
          <w:vertAlign w:val="subscript"/>
        </w:rPr>
        <w:t>2</w:t>
      </w:r>
      <w:r w:rsidRPr="00A94315">
        <w:t>O emissions is a small fraction of the CO</w:t>
      </w:r>
      <w:r w:rsidRPr="00A94315">
        <w:rPr>
          <w:vertAlign w:val="subscript"/>
        </w:rPr>
        <w:t>2e</w:t>
      </w:r>
      <w:r w:rsidRPr="00A94315">
        <w:t xml:space="preserve"> captured is in the online supplementary information “OMA N</w:t>
      </w:r>
      <w:r w:rsidRPr="00A94315">
        <w:rPr>
          <w:vertAlign w:val="subscript"/>
        </w:rPr>
        <w:t>2</w:t>
      </w:r>
      <w:r w:rsidRPr="00A94315">
        <w:t xml:space="preserve">O Discussion.”  </w:t>
      </w:r>
    </w:p>
    <w:p w14:paraId="17218BD7" w14:textId="77777777" w:rsidR="00CE6F7F" w:rsidRPr="00A94315" w:rsidRDefault="00CE6F7F" w:rsidP="00F55579">
      <w:pPr>
        <w:widowControl w:val="0"/>
        <w:autoSpaceDE w:val="0"/>
        <w:autoSpaceDN w:val="0"/>
        <w:adjustRightInd w:val="0"/>
        <w:jc w:val="both"/>
      </w:pPr>
    </w:p>
    <w:p w14:paraId="7CFE86FA" w14:textId="77777777" w:rsidR="00CE6F7F" w:rsidRPr="00A94315" w:rsidRDefault="00CE6F7F" w:rsidP="00F55579">
      <w:pPr>
        <w:jc w:val="both"/>
      </w:pPr>
      <w:r w:rsidRPr="00A94315">
        <w:rPr>
          <w:b/>
        </w:rPr>
        <w:t>4.5 Recycle the plant nutrients</w:t>
      </w:r>
      <w:r w:rsidRPr="00A94315">
        <w:t>:  Microbial anaerobic digestion converts the biomass to biogas, plant nutrients, and water. The plant nutrients are mostly dissolved with some trapped in undigested solids.  (The term “solids” is applied to what remains after anaerobic digestion even though the material may be 98% water.  These “solids” include water, the ash component of the biomass, some undigested volatile “solids,” and the digesting microbes.)  The nitrogen nutrients are mostly in the form of dissolved ammonia.  The water with both liquid and solid nutrients is pumped to the ocean surface for distribution back to the algal forest.  The nutrient distribution must be carefully managed to prevent ammonia toxicity and maximize macroalgal forest sustainability without microalgae “blooms.”</w:t>
      </w:r>
    </w:p>
    <w:p w14:paraId="4797D303" w14:textId="77777777" w:rsidR="00AE510C" w:rsidRPr="008D76FF" w:rsidRDefault="00AE510C" w:rsidP="00AE510C">
      <w:pPr>
        <w:jc w:val="both"/>
        <w:rPr>
          <w:b/>
          <w:sz w:val="16"/>
        </w:rPr>
      </w:pPr>
    </w:p>
    <w:p w14:paraId="7EB0017F" w14:textId="77777777" w:rsidR="00CE6F7F" w:rsidRPr="00A94315" w:rsidRDefault="00CE6F7F" w:rsidP="00F55579">
      <w:pPr>
        <w:jc w:val="both"/>
      </w:pPr>
      <w:r w:rsidRPr="00A94315">
        <w:t xml:space="preserve">Our model includes the materials and energy to use all three of the following mechanisms to ensure maximum local recycling of the plant nutrients: </w:t>
      </w:r>
    </w:p>
    <w:p w14:paraId="4136553B" w14:textId="77777777" w:rsidR="00CE6F7F" w:rsidRPr="00A94315" w:rsidRDefault="00CE6F7F" w:rsidP="00F55579">
      <w:pPr>
        <w:numPr>
          <w:ilvl w:val="0"/>
          <w:numId w:val="15"/>
        </w:numPr>
        <w:jc w:val="both"/>
      </w:pPr>
      <w:r w:rsidRPr="00A94315">
        <w:t>The dissolved nutrients are distributed evenly through a grid of floating hose.  Because this is mostly ammonia at perhaps 800 mg/L of nitrogen, it may have to be distributed only during daylight hours when the algae are providing high dissolved oxygen concentrations so that aerobic microbes can quickly convert the ammonia to nitrate.</w:t>
      </w:r>
    </w:p>
    <w:p w14:paraId="5C708815" w14:textId="77777777" w:rsidR="00CE6F7F" w:rsidRPr="00A94315" w:rsidRDefault="00CE6F7F" w:rsidP="00F55579">
      <w:pPr>
        <w:numPr>
          <w:ilvl w:val="0"/>
          <w:numId w:val="15"/>
        </w:numPr>
        <w:jc w:val="both"/>
      </w:pPr>
      <w:r w:rsidRPr="00A94315">
        <w:t>The undigested solids from digestion float in “tea-bags” through the forest providing a slow-release fertilizer.  When the aerobic bacteria of the ocean surface have extracted most of the remaining plant nutrients, the remaining solids would be released to sink.</w:t>
      </w:r>
    </w:p>
    <w:p w14:paraId="64216AB0" w14:textId="77777777" w:rsidR="00CE6F7F" w:rsidRPr="00A94315" w:rsidRDefault="00CE6F7F" w:rsidP="00F55579">
      <w:pPr>
        <w:numPr>
          <w:ilvl w:val="0"/>
          <w:numId w:val="15"/>
        </w:numPr>
        <w:jc w:val="both"/>
      </w:pPr>
      <w:r w:rsidRPr="00A94315">
        <w:t xml:space="preserve">The nutrients from dying plants that are not harvested are pumped back up from the water or seafloor beneath the forest. </w:t>
      </w:r>
    </w:p>
    <w:p w14:paraId="7106D2B4" w14:textId="77777777" w:rsidR="00CE6F7F" w:rsidRPr="00AE510C" w:rsidRDefault="00CE6F7F" w:rsidP="00F55579">
      <w:pPr>
        <w:jc w:val="both"/>
        <w:rPr>
          <w:color w:val="000000"/>
          <w:sz w:val="18"/>
        </w:rPr>
      </w:pPr>
    </w:p>
    <w:p w14:paraId="2DCE2B64" w14:textId="641AEDA6" w:rsidR="00CE6F7F" w:rsidRPr="00A94315" w:rsidRDefault="00CE6F7F" w:rsidP="00F55579">
      <w:pPr>
        <w:widowControl w:val="0"/>
        <w:autoSpaceDE w:val="0"/>
        <w:autoSpaceDN w:val="0"/>
        <w:adjustRightInd w:val="0"/>
        <w:jc w:val="both"/>
        <w:rPr>
          <w:color w:val="000000"/>
        </w:rPr>
      </w:pPr>
      <w:r w:rsidRPr="00A94315">
        <w:rPr>
          <w:color w:val="000000"/>
        </w:rPr>
        <w:t xml:space="preserve">Table 1 indicates nutrient recycling is the most energy intensive process of the ecosystem.  OMA covering 4% of the world’s ocean could be cycling about sixteen times the world’s 2010 synthetic nitrogen production.   Hanisak (1981) indicates that recycling nutrients from anaerobic digestion will work well to sustain and perhaps increase macroalgae growth when combined with existing nutrients in the seawater.  Recycled digester residues were shown to provide 62-83% (recycling efficiency) of the required nutrients for seaweed cultivation (Hanisak, 1981). Given ambient levels of inorganic nitrogen in Florida coastal waters, a recycling efficiency of only 45% would be required to support maximum </w:t>
      </w:r>
      <w:r w:rsidRPr="00A94315">
        <w:rPr>
          <w:i/>
          <w:color w:val="000000"/>
        </w:rPr>
        <w:t>Gracilaria</w:t>
      </w:r>
      <w:r w:rsidRPr="00A94315">
        <w:rPr>
          <w:color w:val="000000"/>
        </w:rPr>
        <w:t xml:space="preserve"> productivity of 66 ash-free dry </w:t>
      </w:r>
      <w:r w:rsidR="00851E85" w:rsidRPr="00A94315">
        <w:rPr>
          <w:color w:val="000000"/>
        </w:rPr>
        <w:t>t/ha/</w:t>
      </w:r>
      <w:proofErr w:type="spellStart"/>
      <w:r w:rsidR="00851E85" w:rsidRPr="00A94315">
        <w:rPr>
          <w:color w:val="000000"/>
        </w:rPr>
        <w:t>yr</w:t>
      </w:r>
      <w:proofErr w:type="spellEnd"/>
      <w:r w:rsidRPr="00A94315">
        <w:rPr>
          <w:color w:val="000000"/>
        </w:rPr>
        <w:t xml:space="preserve"> (Chynoweth, 2002). (Note our energy calculations are based on conservative average projections of only 18 ash-free </w:t>
      </w:r>
      <w:r w:rsidR="00851E85" w:rsidRPr="00A94315">
        <w:rPr>
          <w:color w:val="000000"/>
        </w:rPr>
        <w:t>dry t/ha/</w:t>
      </w:r>
      <w:r w:rsidRPr="00A94315">
        <w:rPr>
          <w:color w:val="000000"/>
        </w:rPr>
        <w:t>yr.)</w:t>
      </w:r>
    </w:p>
    <w:p w14:paraId="2686F8CD" w14:textId="77777777" w:rsidR="00AE510C" w:rsidRPr="008D76FF" w:rsidRDefault="00AE510C" w:rsidP="00AE510C">
      <w:pPr>
        <w:jc w:val="both"/>
        <w:rPr>
          <w:b/>
          <w:sz w:val="16"/>
        </w:rPr>
      </w:pPr>
    </w:p>
    <w:p w14:paraId="583F3C88" w14:textId="77777777" w:rsidR="00CE6F7F" w:rsidRPr="00A94315" w:rsidRDefault="00CE6F7F" w:rsidP="00022349">
      <w:pPr>
        <w:tabs>
          <w:tab w:val="left" w:pos="-90"/>
        </w:tabs>
        <w:outlineLvl w:val="0"/>
        <w:rPr>
          <w:color w:val="141413"/>
        </w:rPr>
      </w:pPr>
      <w:r w:rsidRPr="00A94315">
        <w:rPr>
          <w:color w:val="000000"/>
        </w:rPr>
        <w:t xml:space="preserve">More details about </w:t>
      </w:r>
      <w:r w:rsidRPr="00A94315">
        <w:rPr>
          <w:color w:val="000000"/>
          <w:shd w:val="clear" w:color="auto" w:fill="FFFFFF"/>
        </w:rPr>
        <w:t xml:space="preserve">a potential method for recovering ammonia to be recirculated to needy Ocean Afforestation ecosystems are presented in </w:t>
      </w:r>
      <w:r w:rsidRPr="00A94315">
        <w:t>the online supplementary information file</w:t>
      </w:r>
      <w:r w:rsidRPr="00A94315">
        <w:rPr>
          <w:color w:val="000000"/>
          <w:shd w:val="clear" w:color="auto" w:fill="FFFFFF"/>
        </w:rPr>
        <w:t xml:space="preserve"> “OMA Gas membrane ammonia concentration.”</w:t>
      </w:r>
    </w:p>
    <w:p w14:paraId="0D021C14" w14:textId="77777777" w:rsidR="00CE6F7F" w:rsidRPr="00A94315" w:rsidRDefault="00CE6F7F" w:rsidP="00F55579">
      <w:pPr>
        <w:widowControl w:val="0"/>
        <w:autoSpaceDE w:val="0"/>
        <w:autoSpaceDN w:val="0"/>
        <w:adjustRightInd w:val="0"/>
        <w:jc w:val="both"/>
      </w:pPr>
    </w:p>
    <w:p w14:paraId="24FBE99C" w14:textId="77777777" w:rsidR="00CE6F7F" w:rsidRPr="00A94315" w:rsidRDefault="00CE6F7F" w:rsidP="00F55579">
      <w:pPr>
        <w:jc w:val="both"/>
      </w:pPr>
      <w:r w:rsidRPr="00A94315">
        <w:rPr>
          <w:b/>
        </w:rPr>
        <w:t>4.6 Capture and compress the bio-CO</w:t>
      </w:r>
      <w:r w:rsidRPr="00A94315">
        <w:rPr>
          <w:b/>
          <w:vertAlign w:val="subscript"/>
        </w:rPr>
        <w:t>2</w:t>
      </w:r>
      <w:r w:rsidRPr="00A94315">
        <w:t xml:space="preserve">:  As the water with dissolved gas and nutrients is pumped to the ocean surface, the gases are captured at one </w:t>
      </w:r>
      <w:proofErr w:type="spellStart"/>
      <w:r w:rsidRPr="00A94315">
        <w:t>atomosphere</w:t>
      </w:r>
      <w:proofErr w:type="spellEnd"/>
      <w:r w:rsidRPr="00A94315">
        <w:t xml:space="preserve"> pressure as they come out of solution, comprising about 90% bio-CO</w:t>
      </w:r>
      <w:r w:rsidRPr="00A94315">
        <w:rPr>
          <w:vertAlign w:val="subscript"/>
        </w:rPr>
        <w:t>2</w:t>
      </w:r>
      <w:r w:rsidRPr="00A94315">
        <w:t xml:space="preserve"> and 10% bio-CH</w:t>
      </w:r>
      <w:r w:rsidRPr="00A94315">
        <w:rPr>
          <w:vertAlign w:val="subscript"/>
        </w:rPr>
        <w:t>4</w:t>
      </w:r>
      <w:r w:rsidRPr="00A94315">
        <w:t>.  Our LCA presented below presumes energy is consumed moving the nutrient-laden water to the surface.  In practice, gas bubbles coming out of solution could pump the nutrient return water above the ocean surface without the assumed parasitic energy loss.</w:t>
      </w:r>
    </w:p>
    <w:p w14:paraId="23039ABB" w14:textId="77777777" w:rsidR="00AE510C" w:rsidRPr="008D76FF" w:rsidRDefault="00AE510C" w:rsidP="00AE510C">
      <w:pPr>
        <w:jc w:val="both"/>
        <w:rPr>
          <w:b/>
          <w:sz w:val="16"/>
        </w:rPr>
      </w:pPr>
    </w:p>
    <w:p w14:paraId="2EACB033" w14:textId="77777777" w:rsidR="00CE6F7F" w:rsidRPr="00A94315" w:rsidRDefault="00CE6F7F" w:rsidP="00F55579">
      <w:pPr>
        <w:jc w:val="both"/>
      </w:pPr>
      <w:r w:rsidRPr="00A94315">
        <w:t>To reduce greenhouse gas effects, our calculations include the materials and energy for a biologic removal process for any remaining bio-CH</w:t>
      </w:r>
      <w:r w:rsidRPr="00A94315">
        <w:rPr>
          <w:vertAlign w:val="subscript"/>
        </w:rPr>
        <w:t>4</w:t>
      </w:r>
      <w:r w:rsidRPr="00A94315">
        <w:t xml:space="preserve"> even though very little remains dissolved after the CO</w:t>
      </w:r>
      <w:r w:rsidRPr="00A94315">
        <w:rPr>
          <w:vertAlign w:val="subscript"/>
        </w:rPr>
        <w:t>2</w:t>
      </w:r>
      <w:r w:rsidRPr="00A94315">
        <w:t xml:space="preserve"> capture.  The removal process is based on CH</w:t>
      </w:r>
      <w:r w:rsidRPr="00A94315">
        <w:rPr>
          <w:vertAlign w:val="subscript"/>
        </w:rPr>
        <w:t>4</w:t>
      </w:r>
      <w:r w:rsidRPr="00A94315">
        <w:t xml:space="preserve"> digesting microbes, as was found in the BP Gulf of Mexico oil spill (Kessler, et al., 2011).  This ensures no CH</w:t>
      </w:r>
      <w:r w:rsidRPr="00A94315">
        <w:rPr>
          <w:vertAlign w:val="subscript"/>
        </w:rPr>
        <w:t>4</w:t>
      </w:r>
      <w:r w:rsidRPr="00A94315">
        <w:t xml:space="preserve"> or H</w:t>
      </w:r>
      <w:r w:rsidRPr="00A94315">
        <w:rPr>
          <w:vertAlign w:val="subscript"/>
        </w:rPr>
        <w:t>2</w:t>
      </w:r>
      <w:r w:rsidRPr="00A94315">
        <w:t>S is emitted to the atmosphere.  Also, during the CH</w:t>
      </w:r>
      <w:r w:rsidRPr="00A94315">
        <w:rPr>
          <w:vertAlign w:val="subscript"/>
        </w:rPr>
        <w:t>4</w:t>
      </w:r>
      <w:r w:rsidRPr="00A94315">
        <w:t xml:space="preserve"> separation process, some of the ammonia will be converted to nitrate and be recycled with the rest of the nutrients. </w:t>
      </w:r>
    </w:p>
    <w:p w14:paraId="543CE4FC" w14:textId="77777777" w:rsidR="005210EC" w:rsidRPr="008D76FF" w:rsidRDefault="005210EC" w:rsidP="005210EC">
      <w:pPr>
        <w:jc w:val="both"/>
        <w:rPr>
          <w:b/>
          <w:sz w:val="16"/>
        </w:rPr>
      </w:pPr>
    </w:p>
    <w:p w14:paraId="7073560F" w14:textId="77777777" w:rsidR="00CE6F7F" w:rsidRPr="00A94315" w:rsidRDefault="00CE6F7F" w:rsidP="00F55579">
      <w:pPr>
        <w:jc w:val="both"/>
      </w:pPr>
      <w:r w:rsidRPr="00A94315">
        <w:lastRenderedPageBreak/>
        <w:t>All the remaining previously dissolved CO</w:t>
      </w:r>
      <w:r w:rsidRPr="00A94315">
        <w:rPr>
          <w:vertAlign w:val="subscript"/>
        </w:rPr>
        <w:t>2</w:t>
      </w:r>
      <w:r w:rsidRPr="00A94315">
        <w:t>, CH</w:t>
      </w:r>
      <w:r w:rsidRPr="00A94315">
        <w:rPr>
          <w:vertAlign w:val="subscript"/>
        </w:rPr>
        <w:t>4</w:t>
      </w:r>
      <w:r w:rsidRPr="00A94315">
        <w:t>, H</w:t>
      </w:r>
      <w:r w:rsidRPr="00A94315">
        <w:rPr>
          <w:vertAlign w:val="subscript"/>
        </w:rPr>
        <w:t>2</w:t>
      </w:r>
      <w:r w:rsidRPr="00A94315">
        <w:t>S, N</w:t>
      </w:r>
      <w:r w:rsidRPr="00A94315">
        <w:rPr>
          <w:vertAlign w:val="subscript"/>
        </w:rPr>
        <w:t>2</w:t>
      </w:r>
      <w:r w:rsidRPr="00A94315">
        <w:t>O, etc. is compressed to 50-bar and cooled as it is moved to the 500-meter depth in a pipe.  (When in shallower water the CO</w:t>
      </w:r>
      <w:r w:rsidRPr="00A94315">
        <w:rPr>
          <w:vertAlign w:val="subscript"/>
        </w:rPr>
        <w:t>2</w:t>
      </w:r>
      <w:r w:rsidRPr="00A94315">
        <w:t xml:space="preserve"> is either chilled or compressed until it liquefies.)  The compressed bio-CO</w:t>
      </w:r>
      <w:r w:rsidRPr="00A94315">
        <w:rPr>
          <w:vertAlign w:val="subscript"/>
        </w:rPr>
        <w:t>2</w:t>
      </w:r>
      <w:r w:rsidRPr="00A94315">
        <w:t xml:space="preserve"> condenses to a liquid.  Other gases will either be recovered with most of the bio-CH4 or will remain dissolved in the liquid CO</w:t>
      </w:r>
      <w:r w:rsidRPr="00A94315">
        <w:rPr>
          <w:vertAlign w:val="subscript"/>
        </w:rPr>
        <w:t>2</w:t>
      </w:r>
      <w:r w:rsidRPr="00A94315">
        <w:t>.  The (mostly) bio-CH</w:t>
      </w:r>
      <w:r w:rsidRPr="00A94315">
        <w:rPr>
          <w:vertAlign w:val="subscript"/>
        </w:rPr>
        <w:t>4</w:t>
      </w:r>
      <w:r w:rsidRPr="00A94315">
        <w:t xml:space="preserve"> will still be gaseous and will be used to produce more energy.</w:t>
      </w:r>
    </w:p>
    <w:p w14:paraId="13B96C1F" w14:textId="77777777" w:rsidR="00CE6F7F" w:rsidRPr="00A94315" w:rsidRDefault="00CE6F7F" w:rsidP="00F55579">
      <w:pPr>
        <w:jc w:val="both"/>
      </w:pPr>
    </w:p>
    <w:p w14:paraId="4B759FAD" w14:textId="77777777" w:rsidR="00CE6F7F" w:rsidRPr="00A94315" w:rsidRDefault="00CE6F7F" w:rsidP="00706E0E">
      <w:pPr>
        <w:jc w:val="both"/>
        <w:rPr>
          <w:color w:val="000000"/>
        </w:rPr>
      </w:pPr>
      <w:r w:rsidRPr="00A94315">
        <w:rPr>
          <w:b/>
        </w:rPr>
        <w:t>4.7 Store the bio-CO</w:t>
      </w:r>
      <w:r w:rsidRPr="00A94315">
        <w:rPr>
          <w:b/>
          <w:vertAlign w:val="subscript"/>
        </w:rPr>
        <w:t>2</w:t>
      </w:r>
      <w:r w:rsidRPr="00A94315">
        <w:t xml:space="preserve">:  </w:t>
      </w:r>
      <w:r w:rsidRPr="00A94315">
        <w:rPr>
          <w:color w:val="000000"/>
        </w:rPr>
        <w:t>Ocean Afforestation concentrates CO</w:t>
      </w:r>
      <w:r w:rsidRPr="00A94315">
        <w:rPr>
          <w:rStyle w:val="Hyperlink"/>
          <w:color w:val="000000"/>
          <w:u w:val="none"/>
          <w:vertAlign w:val="subscript"/>
        </w:rPr>
        <w:t>2</w:t>
      </w:r>
      <w:r w:rsidRPr="00A94315">
        <w:rPr>
          <w:color w:val="000000"/>
        </w:rPr>
        <w:t xml:space="preserve"> from air that can be then be stored as pure gas or liquid CO</w:t>
      </w:r>
      <w:r w:rsidRPr="00A94315">
        <w:rPr>
          <w:rStyle w:val="Hyperlink"/>
          <w:color w:val="000000"/>
          <w:u w:val="none"/>
          <w:vertAlign w:val="subscript"/>
        </w:rPr>
        <w:t>2</w:t>
      </w:r>
      <w:r w:rsidRPr="00A94315">
        <w:rPr>
          <w:color w:val="000000"/>
        </w:rPr>
        <w:t xml:space="preserve"> with a variety of carbon storage technologies:</w:t>
      </w:r>
    </w:p>
    <w:p w14:paraId="7A7B9572" w14:textId="77777777" w:rsidR="00CE6F7F" w:rsidRPr="00A94315" w:rsidRDefault="00CE6F7F">
      <w:pPr>
        <w:pStyle w:val="ListParagraph"/>
        <w:widowControl w:val="0"/>
        <w:numPr>
          <w:ilvl w:val="0"/>
          <w:numId w:val="23"/>
        </w:numPr>
        <w:ind w:left="360"/>
        <w:jc w:val="both"/>
        <w:rPr>
          <w:color w:val="000000"/>
        </w:rPr>
      </w:pPr>
      <w:r w:rsidRPr="00A94315">
        <w:rPr>
          <w:color w:val="000000"/>
        </w:rPr>
        <w:t>Deep geologic storage where the CO</w:t>
      </w:r>
      <w:r w:rsidRPr="00A94315">
        <w:rPr>
          <w:rStyle w:val="Hyperlink"/>
          <w:color w:val="000000"/>
          <w:u w:val="none"/>
          <w:vertAlign w:val="subscript"/>
        </w:rPr>
        <w:t>2</w:t>
      </w:r>
      <w:r w:rsidRPr="00A94315">
        <w:rPr>
          <w:color w:val="000000"/>
        </w:rPr>
        <w:t xml:space="preserve"> is either a gas, a supercritical fluid, or dissolved in saline aquifers several kilometers below the surface of the earth or the seafloor;</w:t>
      </w:r>
    </w:p>
    <w:p w14:paraId="7221424D" w14:textId="77777777" w:rsidR="00CE6F7F" w:rsidRPr="00A94315" w:rsidRDefault="00CE6F7F">
      <w:pPr>
        <w:pStyle w:val="ListParagraph"/>
        <w:widowControl w:val="0"/>
        <w:numPr>
          <w:ilvl w:val="0"/>
          <w:numId w:val="23"/>
        </w:numPr>
        <w:ind w:left="360"/>
        <w:jc w:val="both"/>
        <w:rPr>
          <w:color w:val="000000"/>
        </w:rPr>
      </w:pPr>
      <w:r w:rsidRPr="00A94315">
        <w:rPr>
          <w:color w:val="000000"/>
        </w:rPr>
        <w:t>Shallow sub-seafloor storage, proposed by House, et al. (2006) where the CO</w:t>
      </w:r>
      <w:r w:rsidRPr="00A94315">
        <w:rPr>
          <w:rStyle w:val="Hyperlink"/>
          <w:color w:val="000000"/>
          <w:u w:val="none"/>
          <w:vertAlign w:val="subscript"/>
        </w:rPr>
        <w:t>2</w:t>
      </w:r>
      <w:r w:rsidRPr="00A94315">
        <w:rPr>
          <w:color w:val="000000"/>
        </w:rPr>
        <w:t xml:space="preserve"> is either a liquid or a hydrate perhaps 100 meters below the seafloor for a combined depth in excess of 3 kilometers;</w:t>
      </w:r>
    </w:p>
    <w:p w14:paraId="00F988F9" w14:textId="77777777" w:rsidR="00CE6F7F" w:rsidRPr="00A94315" w:rsidRDefault="00CE6F7F">
      <w:pPr>
        <w:pStyle w:val="ListParagraph"/>
        <w:widowControl w:val="0"/>
        <w:numPr>
          <w:ilvl w:val="0"/>
          <w:numId w:val="23"/>
        </w:numPr>
        <w:ind w:left="360"/>
        <w:jc w:val="both"/>
        <w:rPr>
          <w:color w:val="000000"/>
        </w:rPr>
      </w:pPr>
      <w:r w:rsidRPr="00A94315">
        <w:rPr>
          <w:color w:val="000000"/>
        </w:rPr>
        <w:t>Solid snow, proposed by Agee, et al. (2012) where the CO</w:t>
      </w:r>
      <w:r w:rsidRPr="00A94315">
        <w:rPr>
          <w:rStyle w:val="Hyperlink"/>
          <w:color w:val="000000"/>
          <w:u w:val="none"/>
          <w:vertAlign w:val="subscript"/>
        </w:rPr>
        <w:t>2</w:t>
      </w:r>
      <w:r w:rsidRPr="00A94315">
        <w:rPr>
          <w:color w:val="000000"/>
        </w:rPr>
        <w:t xml:space="preserve"> is a frozen solid “landfill” in Antarctica;</w:t>
      </w:r>
    </w:p>
    <w:p w14:paraId="00087BD2" w14:textId="77777777" w:rsidR="00CE6F7F" w:rsidRPr="00A94315" w:rsidRDefault="00CE6F7F">
      <w:pPr>
        <w:pStyle w:val="ListParagraph"/>
        <w:widowControl w:val="0"/>
        <w:numPr>
          <w:ilvl w:val="0"/>
          <w:numId w:val="23"/>
        </w:numPr>
        <w:ind w:left="360"/>
        <w:jc w:val="both"/>
        <w:rPr>
          <w:color w:val="000000"/>
        </w:rPr>
      </w:pPr>
      <w:r w:rsidRPr="00A94315">
        <w:rPr>
          <w:color w:val="000000"/>
        </w:rPr>
        <w:t>Artificial geologic seafloor storage where the CO</w:t>
      </w:r>
      <w:r w:rsidRPr="00A94315">
        <w:rPr>
          <w:rStyle w:val="Hyperlink"/>
          <w:color w:val="000000"/>
          <w:u w:val="none"/>
          <w:vertAlign w:val="subscript"/>
        </w:rPr>
        <w:t>2</w:t>
      </w:r>
      <w:r w:rsidRPr="00A94315">
        <w:rPr>
          <w:color w:val="000000"/>
        </w:rPr>
        <w:t xml:space="preserve"> is hydrate or denser-than-seawater liquid embedded in geosynthetic and other artificial geologic layers; or </w:t>
      </w:r>
    </w:p>
    <w:p w14:paraId="6082E614" w14:textId="77777777" w:rsidR="00CE6F7F" w:rsidRPr="00A94315" w:rsidRDefault="00CE6F7F">
      <w:pPr>
        <w:pStyle w:val="ListParagraph"/>
        <w:widowControl w:val="0"/>
        <w:numPr>
          <w:ilvl w:val="0"/>
          <w:numId w:val="23"/>
        </w:numPr>
        <w:ind w:left="360"/>
        <w:jc w:val="both"/>
        <w:rPr>
          <w:color w:val="000000"/>
        </w:rPr>
      </w:pPr>
      <w:r w:rsidRPr="00A94315">
        <w:rPr>
          <w:color w:val="000000"/>
        </w:rPr>
        <w:t xml:space="preserve">Other future technology. </w:t>
      </w:r>
    </w:p>
    <w:p w14:paraId="18C17AD9" w14:textId="77777777" w:rsidR="00CE6F7F" w:rsidRPr="005210EC" w:rsidRDefault="00CE6F7F" w:rsidP="00706E0E">
      <w:pPr>
        <w:jc w:val="both"/>
        <w:rPr>
          <w:color w:val="000000"/>
          <w:sz w:val="18"/>
        </w:rPr>
      </w:pPr>
    </w:p>
    <w:p w14:paraId="5192A189" w14:textId="77777777" w:rsidR="00CE6F7F" w:rsidRPr="00A94315" w:rsidRDefault="00CE6F7F" w:rsidP="00F55579">
      <w:pPr>
        <w:jc w:val="both"/>
      </w:pPr>
      <w:r w:rsidRPr="00A94315">
        <w:rPr>
          <w:color w:val="000000"/>
        </w:rPr>
        <w:t xml:space="preserve">The International Maritime Organization (2011) indicates that sub-seabed </w:t>
      </w:r>
      <w:r w:rsidRPr="00A94315">
        <w:t>CO</w:t>
      </w:r>
      <w:r w:rsidRPr="00A94315">
        <w:rPr>
          <w:vertAlign w:val="subscript"/>
        </w:rPr>
        <w:t>2</w:t>
      </w:r>
      <w:r w:rsidRPr="00A94315">
        <w:t xml:space="preserve"> </w:t>
      </w:r>
      <w:r w:rsidRPr="00A94315">
        <w:rPr>
          <w:color w:val="000000"/>
        </w:rPr>
        <w:t xml:space="preserve">storage is legal under recent amendments to </w:t>
      </w:r>
      <w:r w:rsidRPr="00A94315">
        <w:t>the London Protocol.  While dumping unconfined CO</w:t>
      </w:r>
      <w:r w:rsidRPr="00A94315">
        <w:rPr>
          <w:vertAlign w:val="subscript"/>
        </w:rPr>
        <w:t>2</w:t>
      </w:r>
      <w:r w:rsidRPr="00A94315">
        <w:t xml:space="preserve"> in the ocean is prohibited, both the London Protocol and the OSPAR Commission are silent on storing CO</w:t>
      </w:r>
      <w:r w:rsidRPr="00A94315">
        <w:rPr>
          <w:vertAlign w:val="subscript"/>
        </w:rPr>
        <w:t>2</w:t>
      </w:r>
      <w:r w:rsidRPr="00A94315">
        <w:t xml:space="preserve"> in containers on or in the seafloor.  Research indicates that appropriate undisturbed geosynthetics will prevent contact with seawater for millennia (Rowe and Islam, 2009) and that, should the geosynthetic be damaged, insignificant CO</w:t>
      </w:r>
      <w:r w:rsidRPr="00A94315">
        <w:rPr>
          <w:vertAlign w:val="subscript"/>
        </w:rPr>
        <w:t>2</w:t>
      </w:r>
      <w:r w:rsidRPr="00A94315">
        <w:t xml:space="preserve"> hydrate dissolves before the damage could be detected and repaired.  See the online supplementary information file “OMA Artificial Geologic Seafloor Storage” for a more detailed description of the technology and legal issues. </w:t>
      </w:r>
    </w:p>
    <w:p w14:paraId="3F298D42" w14:textId="77777777" w:rsidR="005210EC" w:rsidRPr="008D76FF" w:rsidRDefault="005210EC" w:rsidP="005210EC">
      <w:pPr>
        <w:jc w:val="both"/>
        <w:rPr>
          <w:b/>
          <w:sz w:val="16"/>
        </w:rPr>
      </w:pPr>
    </w:p>
    <w:p w14:paraId="5734B201" w14:textId="490C7A1D" w:rsidR="00CE6F7F" w:rsidRPr="00A94315" w:rsidRDefault="00CE6F7F" w:rsidP="00F55579">
      <w:pPr>
        <w:widowControl w:val="0"/>
        <w:autoSpaceDE w:val="0"/>
        <w:autoSpaceDN w:val="0"/>
        <w:adjustRightInd w:val="0"/>
        <w:jc w:val="both"/>
      </w:pPr>
      <w:r w:rsidRPr="00A94315">
        <w:t>Our economics calculations for storing the OMA-derived pure CO</w:t>
      </w:r>
      <w:r w:rsidRPr="00A94315">
        <w:rPr>
          <w:vertAlign w:val="subscript"/>
        </w:rPr>
        <w:t>2</w:t>
      </w:r>
      <w:r w:rsidRPr="00A94315">
        <w:t xml:space="preserve"> are based on the geosynthetic containers because the locations ideal for OMA may lack the </w:t>
      </w:r>
      <w:r w:rsidR="001B6410" w:rsidRPr="00A94315">
        <w:t>geology for the above options a, b, or c</w:t>
      </w:r>
      <w:r w:rsidRPr="00A94315">
        <w:t>.  In addition, the hydrate is more secure than gas or liquid CO</w:t>
      </w:r>
      <w:r w:rsidRPr="00A94315">
        <w:rPr>
          <w:vertAlign w:val="subscript"/>
        </w:rPr>
        <w:t>2</w:t>
      </w:r>
      <w:r w:rsidRPr="00A94315">
        <w:t xml:space="preserve"> as it is denser than seawater below 500 meters and could slowly dissolve only if water with less than the equilibrium dissolved CO</w:t>
      </w:r>
      <w:r w:rsidRPr="00A94315">
        <w:rPr>
          <w:vertAlign w:val="subscript"/>
        </w:rPr>
        <w:t>2</w:t>
      </w:r>
      <w:r w:rsidRPr="00A94315">
        <w:t xml:space="preserve"> is in direct contact and heat is available.  </w:t>
      </w:r>
    </w:p>
    <w:p w14:paraId="1B9DC601" w14:textId="77777777" w:rsidR="00CE6F7F" w:rsidRPr="00A94315" w:rsidRDefault="00CE6F7F" w:rsidP="00F55579">
      <w:pPr>
        <w:widowControl w:val="0"/>
        <w:autoSpaceDE w:val="0"/>
        <w:autoSpaceDN w:val="0"/>
        <w:adjustRightInd w:val="0"/>
        <w:jc w:val="both"/>
      </w:pPr>
    </w:p>
    <w:p w14:paraId="0EC1DA0D" w14:textId="77777777" w:rsidR="00CE6F7F" w:rsidRPr="00A94315" w:rsidRDefault="00CE6F7F" w:rsidP="002C49E4">
      <w:pPr>
        <w:widowControl w:val="0"/>
        <w:autoSpaceDE w:val="0"/>
        <w:autoSpaceDN w:val="0"/>
        <w:adjustRightInd w:val="0"/>
        <w:jc w:val="both"/>
        <w:rPr>
          <w:rFonts w:cs="Arial"/>
          <w:color w:val="000000"/>
        </w:rPr>
      </w:pPr>
      <w:r w:rsidRPr="00A94315">
        <w:rPr>
          <w:b/>
        </w:rPr>
        <w:t>4.8 Harvest fish and other products</w:t>
      </w:r>
      <w:r w:rsidRPr="00A94315">
        <w:t xml:space="preserve">: Additional potential sources of income include sustainable harvests of fish, sea vegetables, and other macroalgal products.  </w:t>
      </w:r>
      <w:r w:rsidRPr="00A94315">
        <w:rPr>
          <w:color w:val="000000"/>
        </w:rPr>
        <w:t xml:space="preserve">Replacing fossil fuels will require so many macroalgal forests that the production of fish sufficient to provide 0.5 kg of fish and </w:t>
      </w:r>
      <w:r w:rsidRPr="00A94315">
        <w:t>sea vegetables</w:t>
      </w:r>
      <w:r w:rsidRPr="00A94315">
        <w:rPr>
          <w:color w:val="000000"/>
        </w:rPr>
        <w:t xml:space="preserve"> per person per day for 10 billion people could be almost an “incidental” by-product.  In actuality, seafood production is likely to be a higher fraction of OMA products initially because food is generally a higher unit value than renewable energy.  However, food uses can remove nutrients from an OMA ecosystem.  We project that this would mean less than 2% of the annual forest nutrient requirement, in the 2050 scenario (OMA over 6% of world oceans) actually leaving the forests in the form of fish and other edible food stocks (based on data from </w:t>
      </w:r>
      <w:r w:rsidRPr="00A94315">
        <w:rPr>
          <w:rFonts w:eastAsia="MS Minngs"/>
          <w:color w:val="000000"/>
        </w:rPr>
        <w:t>Ramseyer, 2002)</w:t>
      </w:r>
      <w:r w:rsidRPr="00A94315">
        <w:rPr>
          <w:color w:val="000000"/>
        </w:rPr>
        <w:t>. We have not included fish and other food products in our calculated energy balance.</w:t>
      </w:r>
      <w:r w:rsidRPr="00A94315">
        <w:rPr>
          <w:rFonts w:cs="Arial"/>
          <w:color w:val="000000"/>
        </w:rPr>
        <w:t xml:space="preserve">  Potential other products include liquid fuels, agar, </w:t>
      </w:r>
      <w:r w:rsidRPr="00A94315">
        <w:rPr>
          <w:color w:val="000000"/>
        </w:rPr>
        <w:t>carrageenans</w:t>
      </w:r>
      <w:r w:rsidRPr="00A94315">
        <w:rPr>
          <w:rFonts w:cs="Arial"/>
          <w:color w:val="000000"/>
        </w:rPr>
        <w:t>, algin, etc.</w:t>
      </w:r>
    </w:p>
    <w:p w14:paraId="381D0487" w14:textId="77777777" w:rsidR="005210EC" w:rsidRPr="008D76FF" w:rsidRDefault="005210EC" w:rsidP="005210EC">
      <w:pPr>
        <w:jc w:val="both"/>
        <w:rPr>
          <w:b/>
          <w:sz w:val="16"/>
        </w:rPr>
      </w:pPr>
    </w:p>
    <w:p w14:paraId="75C3B31C" w14:textId="77777777" w:rsidR="00CE6F7F" w:rsidRPr="00A94315" w:rsidRDefault="00CE6F7F" w:rsidP="002C49E4">
      <w:pPr>
        <w:jc w:val="both"/>
        <w:rPr>
          <w:color w:val="000000"/>
        </w:rPr>
      </w:pPr>
      <w:r w:rsidRPr="00A94315">
        <w:rPr>
          <w:color w:val="000000"/>
        </w:rPr>
        <w:t xml:space="preserve">Quast (1968) and Limbaugh (1955) report that the long-used southern California practice of harvesting kelp by “mowing” the top 1.3 meters three or four times a year had no effect on the </w:t>
      </w:r>
      <w:proofErr w:type="spellStart"/>
      <w:r w:rsidRPr="00A94315">
        <w:rPr>
          <w:color w:val="000000"/>
        </w:rPr>
        <w:t>sportfish</w:t>
      </w:r>
      <w:proofErr w:type="spellEnd"/>
      <w:r w:rsidRPr="00A94315">
        <w:rPr>
          <w:color w:val="000000"/>
        </w:rPr>
        <w:t xml:space="preserve"> populations or kelp productivity even though the harvesting operation was exporting plant nutrients from the ecosystem.</w:t>
      </w:r>
    </w:p>
    <w:p w14:paraId="4C4389EE" w14:textId="77777777" w:rsidR="005210EC" w:rsidRPr="008D76FF" w:rsidRDefault="005210EC" w:rsidP="005210EC">
      <w:pPr>
        <w:jc w:val="both"/>
        <w:rPr>
          <w:b/>
          <w:sz w:val="16"/>
        </w:rPr>
      </w:pPr>
    </w:p>
    <w:p w14:paraId="7CFC64F6" w14:textId="512DB23F" w:rsidR="00CE6F7F" w:rsidRPr="00A94315" w:rsidRDefault="00CE6F7F" w:rsidP="00F55579">
      <w:pPr>
        <w:widowControl w:val="0"/>
        <w:autoSpaceDE w:val="0"/>
        <w:autoSpaceDN w:val="0"/>
        <w:adjustRightInd w:val="0"/>
        <w:jc w:val="both"/>
        <w:rPr>
          <w:color w:val="000000"/>
        </w:rPr>
      </w:pPr>
      <w:r w:rsidRPr="00A94315">
        <w:t xml:space="preserve">The actual quantities of increased fish production need to be studied for each region and species.  As </w:t>
      </w:r>
      <w:r w:rsidRPr="00A94315">
        <w:rPr>
          <w:color w:val="000000"/>
        </w:rPr>
        <w:lastRenderedPageBreak/>
        <w:t>Graham et al. (2008)</w:t>
      </w:r>
      <w:r w:rsidR="00A671B4" w:rsidRPr="00A94315">
        <w:rPr>
          <w:color w:val="000000"/>
        </w:rPr>
        <w:t xml:space="preserve"> and Graham (2004)</w:t>
      </w:r>
      <w:r w:rsidRPr="00A94315">
        <w:rPr>
          <w:color w:val="000000"/>
        </w:rPr>
        <w:t xml:space="preserve"> report, “One property clearly common to southern and central Californian kelp forests is the fundamental importance of kelp (primarily </w:t>
      </w:r>
      <w:r w:rsidRPr="00A94315">
        <w:rPr>
          <w:i/>
          <w:iCs/>
          <w:color w:val="000000"/>
        </w:rPr>
        <w:t>Macrocystis pyrifera</w:t>
      </w:r>
      <w:r w:rsidRPr="00A94315">
        <w:rPr>
          <w:color w:val="000000"/>
        </w:rPr>
        <w:t>) as an overwhelming source of primary production and detritus that fuels both the grazer-dependent and the detritus-dependent trophic pathways in these systems. The actual diversity of forest-dwelling species involved in either or both of these pathways has never been quantified, but clearly constitutes a major portion of the great diversity characteristic of these communities.” (2008, p. 7)</w:t>
      </w:r>
    </w:p>
    <w:p w14:paraId="560F55F6" w14:textId="77777777" w:rsidR="005210EC" w:rsidRPr="008D76FF" w:rsidRDefault="005210EC" w:rsidP="005210EC">
      <w:pPr>
        <w:jc w:val="both"/>
        <w:rPr>
          <w:b/>
          <w:sz w:val="16"/>
        </w:rPr>
      </w:pPr>
    </w:p>
    <w:p w14:paraId="78CCEB9C" w14:textId="14A26C5C" w:rsidR="00CE6F7F" w:rsidRPr="00A94315" w:rsidRDefault="00CE6F7F" w:rsidP="00F55579">
      <w:pPr>
        <w:widowControl w:val="0"/>
        <w:autoSpaceDE w:val="0"/>
        <w:autoSpaceDN w:val="0"/>
        <w:adjustRightInd w:val="0"/>
        <w:jc w:val="both"/>
        <w:rPr>
          <w:color w:val="000000"/>
        </w:rPr>
      </w:pPr>
      <w:r w:rsidRPr="00A94315">
        <w:rPr>
          <w:color w:val="000000"/>
        </w:rPr>
        <w:t>Another “product” of the Ocean Afforestation process can be concentrating fertilizer from ocean dead zones for application on terrestrial farms.  Normally, the digestate with its seawate</w:t>
      </w:r>
      <w:r w:rsidR="001B0909" w:rsidRPr="00A94315">
        <w:rPr>
          <w:color w:val="000000"/>
        </w:rPr>
        <w:t>r salt concentrations and 500-1</w:t>
      </w:r>
      <w:r w:rsidRPr="00A94315">
        <w:rPr>
          <w:color w:val="000000"/>
        </w:rPr>
        <w:t xml:space="preserve">000 mg/L ammonia concentrations would be too salty for land application and too dilute for transporting.  However, gas membrane technology for concentrating the salty digestate ammonia into a concentrated freshwater fertilizer is presented in the online </w:t>
      </w:r>
      <w:r w:rsidRPr="00A94315">
        <w:t>supplementary information file</w:t>
      </w:r>
      <w:r w:rsidRPr="00A94315">
        <w:rPr>
          <w:b/>
        </w:rPr>
        <w:t xml:space="preserve"> </w:t>
      </w:r>
      <w:r w:rsidRPr="00A94315">
        <w:rPr>
          <w:color w:val="000000"/>
        </w:rPr>
        <w:t>“OMA Ammonia Concentrating</w:t>
      </w:r>
      <w:r w:rsidRPr="00A94315">
        <w:t xml:space="preserve"> Process</w:t>
      </w:r>
      <w:r w:rsidRPr="00A94315">
        <w:rPr>
          <w:color w:val="000000"/>
        </w:rPr>
        <w:t>.”</w:t>
      </w:r>
    </w:p>
    <w:p w14:paraId="6877A965" w14:textId="77777777" w:rsidR="00CE6F7F" w:rsidRPr="00A94315" w:rsidRDefault="00CE6F7F" w:rsidP="00F55579">
      <w:pPr>
        <w:widowControl w:val="0"/>
        <w:autoSpaceDE w:val="0"/>
        <w:autoSpaceDN w:val="0"/>
        <w:adjustRightInd w:val="0"/>
        <w:jc w:val="both"/>
      </w:pPr>
    </w:p>
    <w:p w14:paraId="51AA6CEB" w14:textId="74ACCB74" w:rsidR="00CE6F7F" w:rsidRPr="00A94315" w:rsidRDefault="001B0909" w:rsidP="0022399D">
      <w:pPr>
        <w:widowControl w:val="0"/>
        <w:autoSpaceDE w:val="0"/>
        <w:autoSpaceDN w:val="0"/>
        <w:adjustRightInd w:val="0"/>
        <w:jc w:val="both"/>
        <w:outlineLvl w:val="0"/>
        <w:rPr>
          <w:b/>
        </w:rPr>
      </w:pPr>
      <w:r w:rsidRPr="00A94315">
        <w:rPr>
          <w:b/>
        </w:rPr>
        <w:t>5.0</w:t>
      </w:r>
      <w:r w:rsidRPr="00A94315">
        <w:rPr>
          <w:b/>
        </w:rPr>
        <w:tab/>
        <w:t>Potential scenarios to accomplish the objectives and e</w:t>
      </w:r>
      <w:r w:rsidR="00CE6F7F" w:rsidRPr="00A94315">
        <w:rPr>
          <w:b/>
        </w:rPr>
        <w:t>conomics</w:t>
      </w:r>
    </w:p>
    <w:p w14:paraId="2561AACA" w14:textId="77777777" w:rsidR="005210EC" w:rsidRPr="008D76FF" w:rsidRDefault="005210EC" w:rsidP="005210EC">
      <w:pPr>
        <w:jc w:val="both"/>
        <w:rPr>
          <w:b/>
          <w:sz w:val="16"/>
        </w:rPr>
      </w:pPr>
    </w:p>
    <w:p w14:paraId="24E3680A" w14:textId="77777777" w:rsidR="00CE6F7F" w:rsidRPr="00A94315" w:rsidRDefault="00CE6F7F" w:rsidP="00C42DC2">
      <w:pPr>
        <w:widowControl w:val="0"/>
        <w:autoSpaceDE w:val="0"/>
        <w:autoSpaceDN w:val="0"/>
        <w:adjustRightInd w:val="0"/>
        <w:jc w:val="both"/>
      </w:pPr>
      <w:r w:rsidRPr="00A94315">
        <w:t>Ocean Afforestation’s bio-CH</w:t>
      </w:r>
      <w:r w:rsidRPr="00A94315">
        <w:rPr>
          <w:vertAlign w:val="subscript"/>
        </w:rPr>
        <w:t>4</w:t>
      </w:r>
      <w:r w:rsidRPr="00A94315">
        <w:t xml:space="preserve"> is an appropriate fuel for bio-energy with carbon capture and storage (BECCS).  We leave the discussion of BECCS technology to BECCS researchers.  However, our scenarios include the expectation of a significant amount of BECCS and carbon capture and storage from fossil fuel exhaust in the future.</w:t>
      </w:r>
    </w:p>
    <w:p w14:paraId="2EE1DADB" w14:textId="77777777" w:rsidR="005210EC" w:rsidRPr="008D76FF" w:rsidRDefault="005210EC" w:rsidP="005210EC">
      <w:pPr>
        <w:jc w:val="both"/>
        <w:rPr>
          <w:b/>
          <w:sz w:val="16"/>
        </w:rPr>
      </w:pPr>
    </w:p>
    <w:p w14:paraId="7E2B86D0" w14:textId="4AF93D9F" w:rsidR="00CE6F7F" w:rsidRPr="00A94315" w:rsidRDefault="00CE6F7F" w:rsidP="009B07ED">
      <w:pPr>
        <w:widowControl w:val="0"/>
        <w:autoSpaceDE w:val="0"/>
        <w:autoSpaceDN w:val="0"/>
        <w:adjustRightInd w:val="0"/>
        <w:jc w:val="both"/>
      </w:pPr>
      <w:r w:rsidRPr="00A94315">
        <w:t>Table 1 combines the materials and energy input for the processes 4.1 – 4.7.  (The costs and benefits of Process 4.8, fish and other products, are not related to negative carbon emissions</w:t>
      </w:r>
      <w:r w:rsidR="00725ADE" w:rsidRPr="00A94315">
        <w:t>.</w:t>
      </w:r>
      <w:r w:rsidRPr="00A94315">
        <w:t xml:space="preserve">) The materials have been converted to their energy equivalent in kWh.  </w:t>
      </w:r>
      <w:proofErr w:type="gramStart"/>
      <w:r w:rsidRPr="00A94315">
        <w:t>These calculations are detailed in a not-yet-published paper with supporting documentation by Colosi</w:t>
      </w:r>
      <w:proofErr w:type="gramEnd"/>
      <w:r w:rsidRPr="00A94315">
        <w:t xml:space="preserve"> (2012).  The online supplementary information file “OMA Process Concepts” presents a conceptual outline of the process designs and many of the numbers used in the LCA, which are summarized in Table 1. </w:t>
      </w:r>
    </w:p>
    <w:p w14:paraId="66DFD9B0" w14:textId="77777777" w:rsidR="00CE6F7F" w:rsidRPr="00B801BC" w:rsidRDefault="00CE6F7F">
      <w:pPr>
        <w:rPr>
          <w:sz w:val="18"/>
        </w:rPr>
      </w:pPr>
    </w:p>
    <w:tbl>
      <w:tblPr>
        <w:tblW w:w="9375" w:type="dxa"/>
        <w:tblInd w:w="93" w:type="dxa"/>
        <w:tblLook w:val="00A0" w:firstRow="1" w:lastRow="0" w:firstColumn="1" w:lastColumn="0" w:noHBand="0" w:noVBand="0"/>
      </w:tblPr>
      <w:tblGrid>
        <w:gridCol w:w="1080"/>
        <w:gridCol w:w="5420"/>
        <w:gridCol w:w="2875"/>
      </w:tblGrid>
      <w:tr w:rsidR="00CE6F7F" w:rsidRPr="00A94315" w14:paraId="3E57919E" w14:textId="77777777" w:rsidTr="00C5464C">
        <w:trPr>
          <w:trHeight w:val="315"/>
        </w:trPr>
        <w:tc>
          <w:tcPr>
            <w:tcW w:w="9375" w:type="dxa"/>
            <w:gridSpan w:val="3"/>
            <w:tcBorders>
              <w:top w:val="single" w:sz="4" w:space="0" w:color="auto"/>
              <w:left w:val="single" w:sz="4" w:space="0" w:color="auto"/>
              <w:bottom w:val="single" w:sz="4" w:space="0" w:color="auto"/>
              <w:right w:val="single" w:sz="4" w:space="0" w:color="auto"/>
            </w:tcBorders>
            <w:vAlign w:val="center"/>
          </w:tcPr>
          <w:p w14:paraId="34AF2628" w14:textId="77777777" w:rsidR="00CE6F7F" w:rsidRPr="00A94315" w:rsidRDefault="00CE6F7F" w:rsidP="00C5464C">
            <w:pPr>
              <w:jc w:val="center"/>
              <w:rPr>
                <w:color w:val="000000"/>
              </w:rPr>
            </w:pPr>
            <w:r w:rsidRPr="00A94315">
              <w:rPr>
                <w:color w:val="000000"/>
              </w:rPr>
              <w:t>Table 1 - LCA calculations including materials and energy for OMA component processes</w:t>
            </w:r>
          </w:p>
        </w:tc>
      </w:tr>
      <w:tr w:rsidR="00CE6F7F" w:rsidRPr="00A94315" w14:paraId="012A520C" w14:textId="77777777" w:rsidTr="00C5464C">
        <w:trPr>
          <w:trHeight w:val="360"/>
        </w:trPr>
        <w:tc>
          <w:tcPr>
            <w:tcW w:w="1080" w:type="dxa"/>
            <w:tcBorders>
              <w:top w:val="nil"/>
              <w:left w:val="single" w:sz="4" w:space="0" w:color="auto"/>
              <w:bottom w:val="single" w:sz="4" w:space="0" w:color="auto"/>
              <w:right w:val="single" w:sz="4" w:space="0" w:color="auto"/>
            </w:tcBorders>
            <w:vAlign w:val="center"/>
          </w:tcPr>
          <w:p w14:paraId="407A2002" w14:textId="77777777" w:rsidR="00CE6F7F" w:rsidRPr="00A94315" w:rsidRDefault="00CE6F7F" w:rsidP="00C5464C">
            <w:pPr>
              <w:jc w:val="center"/>
              <w:rPr>
                <w:color w:val="000000"/>
              </w:rPr>
            </w:pPr>
            <w:r w:rsidRPr="00A94315">
              <w:rPr>
                <w:color w:val="000000"/>
              </w:rPr>
              <w:t>Process #</w:t>
            </w:r>
          </w:p>
        </w:tc>
        <w:tc>
          <w:tcPr>
            <w:tcW w:w="5420" w:type="dxa"/>
            <w:tcBorders>
              <w:top w:val="nil"/>
              <w:left w:val="nil"/>
              <w:bottom w:val="single" w:sz="4" w:space="0" w:color="auto"/>
              <w:right w:val="single" w:sz="4" w:space="0" w:color="auto"/>
            </w:tcBorders>
            <w:vAlign w:val="center"/>
          </w:tcPr>
          <w:p w14:paraId="282ABCC0" w14:textId="77777777" w:rsidR="00CE6F7F" w:rsidRPr="00A94315" w:rsidRDefault="00CE6F7F" w:rsidP="00C5464C">
            <w:pPr>
              <w:rPr>
                <w:color w:val="000000"/>
              </w:rPr>
            </w:pPr>
            <w:r w:rsidRPr="00A94315">
              <w:rPr>
                <w:color w:val="000000"/>
              </w:rPr>
              <w:t>Process Description</w:t>
            </w:r>
          </w:p>
        </w:tc>
        <w:tc>
          <w:tcPr>
            <w:tcW w:w="2875" w:type="dxa"/>
            <w:tcBorders>
              <w:top w:val="nil"/>
              <w:left w:val="nil"/>
              <w:bottom w:val="single" w:sz="4" w:space="0" w:color="auto"/>
              <w:right w:val="single" w:sz="4" w:space="0" w:color="auto"/>
            </w:tcBorders>
            <w:vAlign w:val="center"/>
          </w:tcPr>
          <w:p w14:paraId="0A97EB4B" w14:textId="77777777" w:rsidR="00CE6F7F" w:rsidRPr="00A94315" w:rsidRDefault="00CE6F7F" w:rsidP="00BF4364">
            <w:pPr>
              <w:jc w:val="center"/>
              <w:rPr>
                <w:color w:val="000000"/>
              </w:rPr>
            </w:pPr>
            <w:proofErr w:type="gramStart"/>
            <w:r w:rsidRPr="00A94315">
              <w:rPr>
                <w:color w:val="000000"/>
              </w:rPr>
              <w:t>kWh</w:t>
            </w:r>
            <w:proofErr w:type="gramEnd"/>
            <w:r w:rsidRPr="00A94315">
              <w:rPr>
                <w:color w:val="000000"/>
              </w:rPr>
              <w:t>/ Mg of bio-CO2 stored</w:t>
            </w:r>
          </w:p>
        </w:tc>
      </w:tr>
      <w:tr w:rsidR="00CE6F7F" w:rsidRPr="00A94315" w14:paraId="14C4B463" w14:textId="77777777" w:rsidTr="00C5464C">
        <w:trPr>
          <w:trHeight w:val="360"/>
        </w:trPr>
        <w:tc>
          <w:tcPr>
            <w:tcW w:w="1080" w:type="dxa"/>
            <w:tcBorders>
              <w:top w:val="nil"/>
              <w:left w:val="single" w:sz="4" w:space="0" w:color="auto"/>
              <w:bottom w:val="single" w:sz="4" w:space="0" w:color="auto"/>
              <w:right w:val="single" w:sz="4" w:space="0" w:color="auto"/>
            </w:tcBorders>
            <w:vAlign w:val="center"/>
          </w:tcPr>
          <w:p w14:paraId="4F9A59DF" w14:textId="77777777" w:rsidR="00CE6F7F" w:rsidRPr="00A94315" w:rsidRDefault="00CE6F7F" w:rsidP="00C5464C">
            <w:pPr>
              <w:jc w:val="right"/>
              <w:rPr>
                <w:color w:val="000000"/>
              </w:rPr>
            </w:pPr>
            <w:r w:rsidRPr="00A94315">
              <w:rPr>
                <w:color w:val="000000"/>
              </w:rPr>
              <w:t>4.4</w:t>
            </w:r>
          </w:p>
        </w:tc>
        <w:tc>
          <w:tcPr>
            <w:tcW w:w="5420" w:type="dxa"/>
            <w:tcBorders>
              <w:top w:val="nil"/>
              <w:left w:val="nil"/>
              <w:bottom w:val="single" w:sz="4" w:space="0" w:color="auto"/>
              <w:right w:val="single" w:sz="4" w:space="0" w:color="auto"/>
            </w:tcBorders>
            <w:vAlign w:val="center"/>
          </w:tcPr>
          <w:p w14:paraId="6F768CBD" w14:textId="77777777" w:rsidR="00CE6F7F" w:rsidRPr="00A94315" w:rsidRDefault="00CE6F7F" w:rsidP="00C5464C">
            <w:pPr>
              <w:rPr>
                <w:color w:val="000000"/>
              </w:rPr>
            </w:pPr>
            <w:r w:rsidRPr="00A94315">
              <w:rPr>
                <w:color w:val="000000"/>
              </w:rPr>
              <w:t>Energy produced from recovered CH</w:t>
            </w:r>
            <w:r w:rsidRPr="00A94315">
              <w:rPr>
                <w:color w:val="000000"/>
                <w:vertAlign w:val="subscript"/>
              </w:rPr>
              <w:t>4</w:t>
            </w:r>
          </w:p>
        </w:tc>
        <w:tc>
          <w:tcPr>
            <w:tcW w:w="2875" w:type="dxa"/>
            <w:tcBorders>
              <w:top w:val="nil"/>
              <w:left w:val="nil"/>
              <w:bottom w:val="single" w:sz="4" w:space="0" w:color="auto"/>
              <w:right w:val="single" w:sz="4" w:space="0" w:color="auto"/>
            </w:tcBorders>
            <w:vAlign w:val="center"/>
          </w:tcPr>
          <w:p w14:paraId="320213F7" w14:textId="77777777" w:rsidR="00CE6F7F" w:rsidRPr="00A94315" w:rsidRDefault="00CE6F7F" w:rsidP="00C5464C">
            <w:pPr>
              <w:jc w:val="right"/>
              <w:rPr>
                <w:color w:val="000000"/>
              </w:rPr>
            </w:pPr>
            <w:r w:rsidRPr="00A94315">
              <w:rPr>
                <w:color w:val="000000"/>
              </w:rPr>
              <w:t>4,400</w:t>
            </w:r>
          </w:p>
        </w:tc>
      </w:tr>
      <w:tr w:rsidR="00CE6F7F" w:rsidRPr="00A94315" w14:paraId="3399D031" w14:textId="77777777" w:rsidTr="00C5464C">
        <w:trPr>
          <w:trHeight w:val="360"/>
        </w:trPr>
        <w:tc>
          <w:tcPr>
            <w:tcW w:w="1080" w:type="dxa"/>
            <w:tcBorders>
              <w:top w:val="nil"/>
              <w:left w:val="single" w:sz="4" w:space="0" w:color="auto"/>
              <w:bottom w:val="single" w:sz="4" w:space="0" w:color="auto"/>
              <w:right w:val="single" w:sz="4" w:space="0" w:color="auto"/>
            </w:tcBorders>
            <w:vAlign w:val="center"/>
          </w:tcPr>
          <w:p w14:paraId="594902A5" w14:textId="77777777" w:rsidR="00CE6F7F" w:rsidRPr="00A94315" w:rsidRDefault="00CE6F7F" w:rsidP="00C5464C">
            <w:pPr>
              <w:jc w:val="right"/>
              <w:rPr>
                <w:color w:val="000000"/>
              </w:rPr>
            </w:pPr>
            <w:r w:rsidRPr="00A94315">
              <w:rPr>
                <w:color w:val="000000"/>
              </w:rPr>
              <w:t>4.1, 4.2</w:t>
            </w:r>
          </w:p>
        </w:tc>
        <w:tc>
          <w:tcPr>
            <w:tcW w:w="5420" w:type="dxa"/>
            <w:tcBorders>
              <w:top w:val="nil"/>
              <w:left w:val="nil"/>
              <w:bottom w:val="single" w:sz="4" w:space="0" w:color="auto"/>
              <w:right w:val="single" w:sz="4" w:space="0" w:color="auto"/>
            </w:tcBorders>
            <w:vAlign w:val="center"/>
          </w:tcPr>
          <w:p w14:paraId="60F7551F" w14:textId="77777777" w:rsidR="00CE6F7F" w:rsidRPr="00A94315" w:rsidRDefault="00CE6F7F" w:rsidP="00C5464C">
            <w:pPr>
              <w:rPr>
                <w:color w:val="000000"/>
              </w:rPr>
            </w:pPr>
            <w:r w:rsidRPr="00A94315">
              <w:rPr>
                <w:color w:val="000000"/>
              </w:rPr>
              <w:t>Growing and harvesting macroalgae</w:t>
            </w:r>
          </w:p>
        </w:tc>
        <w:tc>
          <w:tcPr>
            <w:tcW w:w="2875" w:type="dxa"/>
            <w:tcBorders>
              <w:top w:val="nil"/>
              <w:left w:val="nil"/>
              <w:bottom w:val="single" w:sz="4" w:space="0" w:color="auto"/>
              <w:right w:val="single" w:sz="4" w:space="0" w:color="auto"/>
            </w:tcBorders>
            <w:vAlign w:val="center"/>
          </w:tcPr>
          <w:p w14:paraId="0B8976A8" w14:textId="77777777" w:rsidR="00CE6F7F" w:rsidRPr="00A94315" w:rsidRDefault="00CE6F7F" w:rsidP="00C5464C">
            <w:pPr>
              <w:jc w:val="right"/>
              <w:rPr>
                <w:color w:val="000000"/>
              </w:rPr>
            </w:pPr>
            <w:r w:rsidRPr="00A94315">
              <w:rPr>
                <w:color w:val="000000"/>
              </w:rPr>
              <w:t>-60</w:t>
            </w:r>
          </w:p>
        </w:tc>
      </w:tr>
      <w:tr w:rsidR="00CE6F7F" w:rsidRPr="00A94315" w14:paraId="7A05AFE9" w14:textId="77777777" w:rsidTr="00C5464C">
        <w:trPr>
          <w:trHeight w:val="360"/>
        </w:trPr>
        <w:tc>
          <w:tcPr>
            <w:tcW w:w="1080" w:type="dxa"/>
            <w:tcBorders>
              <w:top w:val="nil"/>
              <w:left w:val="single" w:sz="4" w:space="0" w:color="auto"/>
              <w:bottom w:val="single" w:sz="4" w:space="0" w:color="auto"/>
              <w:right w:val="single" w:sz="4" w:space="0" w:color="auto"/>
            </w:tcBorders>
            <w:vAlign w:val="center"/>
          </w:tcPr>
          <w:p w14:paraId="2ED4B461" w14:textId="77777777" w:rsidR="00CE6F7F" w:rsidRPr="00A94315" w:rsidRDefault="00CE6F7F" w:rsidP="00C5464C">
            <w:pPr>
              <w:jc w:val="right"/>
              <w:rPr>
                <w:color w:val="000000"/>
              </w:rPr>
            </w:pPr>
            <w:r w:rsidRPr="00A94315">
              <w:rPr>
                <w:color w:val="000000"/>
              </w:rPr>
              <w:t>4.3, 4.4</w:t>
            </w:r>
          </w:p>
        </w:tc>
        <w:tc>
          <w:tcPr>
            <w:tcW w:w="5420" w:type="dxa"/>
            <w:tcBorders>
              <w:top w:val="nil"/>
              <w:left w:val="nil"/>
              <w:bottom w:val="single" w:sz="4" w:space="0" w:color="auto"/>
              <w:right w:val="single" w:sz="4" w:space="0" w:color="auto"/>
            </w:tcBorders>
            <w:vAlign w:val="center"/>
          </w:tcPr>
          <w:p w14:paraId="3118B924" w14:textId="77777777" w:rsidR="00CE6F7F" w:rsidRPr="00A94315" w:rsidRDefault="00CE6F7F" w:rsidP="00C5464C">
            <w:pPr>
              <w:rPr>
                <w:color w:val="000000"/>
              </w:rPr>
            </w:pPr>
            <w:r w:rsidRPr="00A94315">
              <w:rPr>
                <w:color w:val="000000"/>
              </w:rPr>
              <w:t>Digesting macroalgae and recovering CH</w:t>
            </w:r>
            <w:r w:rsidRPr="00A94315">
              <w:rPr>
                <w:color w:val="000000"/>
                <w:vertAlign w:val="subscript"/>
              </w:rPr>
              <w:t>4</w:t>
            </w:r>
          </w:p>
        </w:tc>
        <w:tc>
          <w:tcPr>
            <w:tcW w:w="2875" w:type="dxa"/>
            <w:tcBorders>
              <w:top w:val="nil"/>
              <w:left w:val="nil"/>
              <w:bottom w:val="single" w:sz="4" w:space="0" w:color="auto"/>
              <w:right w:val="single" w:sz="4" w:space="0" w:color="auto"/>
            </w:tcBorders>
            <w:vAlign w:val="center"/>
          </w:tcPr>
          <w:p w14:paraId="1C8373FF" w14:textId="77777777" w:rsidR="00CE6F7F" w:rsidRPr="00A94315" w:rsidRDefault="00CE6F7F" w:rsidP="00C5464C">
            <w:pPr>
              <w:jc w:val="right"/>
              <w:rPr>
                <w:color w:val="000000"/>
              </w:rPr>
            </w:pPr>
            <w:r w:rsidRPr="00A94315">
              <w:rPr>
                <w:color w:val="000000"/>
              </w:rPr>
              <w:t>-150</w:t>
            </w:r>
          </w:p>
        </w:tc>
      </w:tr>
      <w:tr w:rsidR="00CE6F7F" w:rsidRPr="00A94315" w14:paraId="65DBF040" w14:textId="77777777" w:rsidTr="00C5464C">
        <w:trPr>
          <w:trHeight w:val="672"/>
        </w:trPr>
        <w:tc>
          <w:tcPr>
            <w:tcW w:w="1080" w:type="dxa"/>
            <w:tcBorders>
              <w:top w:val="nil"/>
              <w:left w:val="single" w:sz="4" w:space="0" w:color="auto"/>
              <w:bottom w:val="single" w:sz="4" w:space="0" w:color="auto"/>
              <w:right w:val="single" w:sz="4" w:space="0" w:color="auto"/>
            </w:tcBorders>
            <w:vAlign w:val="center"/>
          </w:tcPr>
          <w:p w14:paraId="473A7947" w14:textId="77777777" w:rsidR="00CE6F7F" w:rsidRPr="00A94315" w:rsidRDefault="00CE6F7F" w:rsidP="00C5464C">
            <w:pPr>
              <w:jc w:val="right"/>
              <w:rPr>
                <w:color w:val="000000"/>
              </w:rPr>
            </w:pPr>
            <w:r w:rsidRPr="00A94315">
              <w:rPr>
                <w:color w:val="000000"/>
              </w:rPr>
              <w:t>4.5</w:t>
            </w:r>
          </w:p>
        </w:tc>
        <w:tc>
          <w:tcPr>
            <w:tcW w:w="5420" w:type="dxa"/>
            <w:tcBorders>
              <w:top w:val="nil"/>
              <w:left w:val="nil"/>
              <w:bottom w:val="single" w:sz="4" w:space="0" w:color="auto"/>
              <w:right w:val="single" w:sz="4" w:space="0" w:color="auto"/>
            </w:tcBorders>
            <w:vAlign w:val="center"/>
          </w:tcPr>
          <w:p w14:paraId="294B678B" w14:textId="77777777" w:rsidR="00CE6F7F" w:rsidRPr="00A94315" w:rsidRDefault="00CE6F7F" w:rsidP="00C5464C">
            <w:pPr>
              <w:rPr>
                <w:color w:val="000000"/>
              </w:rPr>
            </w:pPr>
            <w:r w:rsidRPr="00A94315">
              <w:rPr>
                <w:color w:val="000000"/>
              </w:rPr>
              <w:t>Recycling plant nutrients</w:t>
            </w:r>
          </w:p>
        </w:tc>
        <w:tc>
          <w:tcPr>
            <w:tcW w:w="2875" w:type="dxa"/>
            <w:tcBorders>
              <w:top w:val="nil"/>
              <w:left w:val="nil"/>
              <w:bottom w:val="single" w:sz="4" w:space="0" w:color="auto"/>
              <w:right w:val="single" w:sz="4" w:space="0" w:color="auto"/>
            </w:tcBorders>
            <w:vAlign w:val="center"/>
          </w:tcPr>
          <w:p w14:paraId="4CD015AA" w14:textId="77777777" w:rsidR="00CE6F7F" w:rsidRPr="00A94315" w:rsidRDefault="00CE6F7F" w:rsidP="00C5464C">
            <w:pPr>
              <w:jc w:val="right"/>
              <w:rPr>
                <w:color w:val="000000"/>
              </w:rPr>
            </w:pPr>
            <w:r w:rsidRPr="00A94315">
              <w:rPr>
                <w:color w:val="000000"/>
              </w:rPr>
              <w:t>-340</w:t>
            </w:r>
          </w:p>
        </w:tc>
      </w:tr>
      <w:tr w:rsidR="00CE6F7F" w:rsidRPr="00A94315" w14:paraId="7F7FC334" w14:textId="77777777" w:rsidTr="00C5464C">
        <w:trPr>
          <w:trHeight w:val="672"/>
        </w:trPr>
        <w:tc>
          <w:tcPr>
            <w:tcW w:w="1080" w:type="dxa"/>
            <w:tcBorders>
              <w:top w:val="nil"/>
              <w:left w:val="single" w:sz="4" w:space="0" w:color="auto"/>
              <w:bottom w:val="single" w:sz="4" w:space="0" w:color="auto"/>
              <w:right w:val="single" w:sz="4" w:space="0" w:color="auto"/>
            </w:tcBorders>
            <w:vAlign w:val="center"/>
          </w:tcPr>
          <w:p w14:paraId="419CAAC1" w14:textId="77777777" w:rsidR="00CE6F7F" w:rsidRPr="00A94315" w:rsidRDefault="00CE6F7F" w:rsidP="00C5464C">
            <w:pPr>
              <w:jc w:val="right"/>
              <w:rPr>
                <w:color w:val="000000"/>
              </w:rPr>
            </w:pPr>
            <w:r w:rsidRPr="00A94315">
              <w:rPr>
                <w:color w:val="000000"/>
              </w:rPr>
              <w:t>4.6</w:t>
            </w:r>
          </w:p>
        </w:tc>
        <w:tc>
          <w:tcPr>
            <w:tcW w:w="5420" w:type="dxa"/>
            <w:tcBorders>
              <w:top w:val="nil"/>
              <w:left w:val="nil"/>
              <w:bottom w:val="single" w:sz="4" w:space="0" w:color="auto"/>
              <w:right w:val="single" w:sz="4" w:space="0" w:color="auto"/>
            </w:tcBorders>
            <w:vAlign w:val="center"/>
          </w:tcPr>
          <w:p w14:paraId="324F9058" w14:textId="77777777" w:rsidR="00CE6F7F" w:rsidRPr="00A94315" w:rsidRDefault="00CE6F7F" w:rsidP="00C5464C">
            <w:pPr>
              <w:rPr>
                <w:color w:val="000000"/>
              </w:rPr>
            </w:pPr>
            <w:r w:rsidRPr="00A94315">
              <w:rPr>
                <w:color w:val="000000"/>
              </w:rPr>
              <w:t>Converting atmospheric CO</w:t>
            </w:r>
            <w:r w:rsidRPr="00A94315">
              <w:rPr>
                <w:color w:val="000000"/>
                <w:vertAlign w:val="subscript"/>
              </w:rPr>
              <w:t>2</w:t>
            </w:r>
            <w:r w:rsidRPr="00A94315">
              <w:rPr>
                <w:color w:val="000000"/>
              </w:rPr>
              <w:t xml:space="preserve"> to liquid CO</w:t>
            </w:r>
            <w:r w:rsidRPr="00A94315">
              <w:rPr>
                <w:color w:val="000000"/>
                <w:vertAlign w:val="subscript"/>
              </w:rPr>
              <w:t>2</w:t>
            </w:r>
            <w:r w:rsidRPr="00A94315">
              <w:rPr>
                <w:color w:val="000000"/>
              </w:rPr>
              <w:t xml:space="preserve"> at 500 meters depth</w:t>
            </w:r>
          </w:p>
        </w:tc>
        <w:tc>
          <w:tcPr>
            <w:tcW w:w="2875" w:type="dxa"/>
            <w:tcBorders>
              <w:top w:val="nil"/>
              <w:left w:val="nil"/>
              <w:bottom w:val="single" w:sz="4" w:space="0" w:color="auto"/>
              <w:right w:val="single" w:sz="4" w:space="0" w:color="auto"/>
            </w:tcBorders>
            <w:vAlign w:val="center"/>
          </w:tcPr>
          <w:p w14:paraId="31615ED4" w14:textId="77777777" w:rsidR="00CE6F7F" w:rsidRPr="00A94315" w:rsidRDefault="00CE6F7F" w:rsidP="00C5464C">
            <w:pPr>
              <w:jc w:val="right"/>
              <w:rPr>
                <w:color w:val="000000"/>
              </w:rPr>
            </w:pPr>
            <w:r w:rsidRPr="00A94315">
              <w:rPr>
                <w:color w:val="000000"/>
              </w:rPr>
              <w:t>-430</w:t>
            </w:r>
          </w:p>
        </w:tc>
      </w:tr>
      <w:tr w:rsidR="00CE6F7F" w:rsidRPr="00A94315" w14:paraId="1EE5A086" w14:textId="77777777" w:rsidTr="00C5464C">
        <w:trPr>
          <w:trHeight w:val="360"/>
        </w:trPr>
        <w:tc>
          <w:tcPr>
            <w:tcW w:w="1080" w:type="dxa"/>
            <w:tcBorders>
              <w:top w:val="nil"/>
              <w:left w:val="single" w:sz="4" w:space="0" w:color="auto"/>
              <w:bottom w:val="single" w:sz="4" w:space="0" w:color="auto"/>
              <w:right w:val="single" w:sz="4" w:space="0" w:color="auto"/>
            </w:tcBorders>
            <w:vAlign w:val="center"/>
          </w:tcPr>
          <w:p w14:paraId="63709A13" w14:textId="77777777" w:rsidR="00CE6F7F" w:rsidRPr="00A94315" w:rsidRDefault="00CE6F7F" w:rsidP="00C5464C">
            <w:pPr>
              <w:jc w:val="right"/>
              <w:rPr>
                <w:color w:val="000000"/>
              </w:rPr>
            </w:pPr>
            <w:r w:rsidRPr="00A94315">
              <w:rPr>
                <w:color w:val="000000"/>
              </w:rPr>
              <w:t>4.7</w:t>
            </w:r>
          </w:p>
        </w:tc>
        <w:tc>
          <w:tcPr>
            <w:tcW w:w="5420" w:type="dxa"/>
            <w:tcBorders>
              <w:top w:val="nil"/>
              <w:left w:val="nil"/>
              <w:bottom w:val="single" w:sz="4" w:space="0" w:color="auto"/>
              <w:right w:val="single" w:sz="4" w:space="0" w:color="auto"/>
            </w:tcBorders>
            <w:vAlign w:val="center"/>
          </w:tcPr>
          <w:p w14:paraId="71D3B23A" w14:textId="77777777" w:rsidR="00CE6F7F" w:rsidRPr="00A94315" w:rsidRDefault="00CE6F7F" w:rsidP="00C5464C">
            <w:pPr>
              <w:rPr>
                <w:color w:val="000000"/>
              </w:rPr>
            </w:pPr>
            <w:r w:rsidRPr="00A94315">
              <w:rPr>
                <w:color w:val="000000"/>
              </w:rPr>
              <w:t>Converting liquid CO</w:t>
            </w:r>
            <w:r w:rsidRPr="00A94315">
              <w:rPr>
                <w:color w:val="000000"/>
                <w:vertAlign w:val="subscript"/>
              </w:rPr>
              <w:t>2</w:t>
            </w:r>
            <w:r w:rsidRPr="00A94315">
              <w:rPr>
                <w:color w:val="000000"/>
              </w:rPr>
              <w:t xml:space="preserve"> to permanently stored hydrate in artificial geologic seafloor containers</w:t>
            </w:r>
          </w:p>
        </w:tc>
        <w:tc>
          <w:tcPr>
            <w:tcW w:w="2875" w:type="dxa"/>
            <w:tcBorders>
              <w:top w:val="nil"/>
              <w:left w:val="nil"/>
              <w:bottom w:val="single" w:sz="4" w:space="0" w:color="auto"/>
              <w:right w:val="single" w:sz="4" w:space="0" w:color="auto"/>
            </w:tcBorders>
            <w:vAlign w:val="center"/>
          </w:tcPr>
          <w:p w14:paraId="6169476A" w14:textId="77777777" w:rsidR="00CE6F7F" w:rsidRPr="00A94315" w:rsidRDefault="00CE6F7F" w:rsidP="00C5464C">
            <w:pPr>
              <w:jc w:val="right"/>
              <w:rPr>
                <w:color w:val="000000"/>
              </w:rPr>
            </w:pPr>
            <w:r w:rsidRPr="00A94315">
              <w:rPr>
                <w:color w:val="000000"/>
              </w:rPr>
              <w:t>-80</w:t>
            </w:r>
          </w:p>
        </w:tc>
      </w:tr>
      <w:tr w:rsidR="00CE6F7F" w:rsidRPr="00A94315" w14:paraId="50EAAC78" w14:textId="77777777" w:rsidTr="00C5464C">
        <w:trPr>
          <w:trHeight w:val="315"/>
        </w:trPr>
        <w:tc>
          <w:tcPr>
            <w:tcW w:w="6500" w:type="dxa"/>
            <w:gridSpan w:val="2"/>
            <w:tcBorders>
              <w:top w:val="single" w:sz="4" w:space="0" w:color="auto"/>
              <w:left w:val="single" w:sz="4" w:space="0" w:color="auto"/>
              <w:bottom w:val="single" w:sz="4" w:space="0" w:color="auto"/>
              <w:right w:val="single" w:sz="4" w:space="0" w:color="auto"/>
            </w:tcBorders>
            <w:vAlign w:val="center"/>
          </w:tcPr>
          <w:p w14:paraId="6A4C078C" w14:textId="77777777" w:rsidR="00CE6F7F" w:rsidRPr="00A94315" w:rsidRDefault="00CE6F7F" w:rsidP="00C5464C">
            <w:pPr>
              <w:rPr>
                <w:color w:val="000000"/>
              </w:rPr>
            </w:pPr>
            <w:r w:rsidRPr="00A94315">
              <w:rPr>
                <w:color w:val="000000"/>
              </w:rPr>
              <w:t>Total parasitic energy to operate above processes</w:t>
            </w:r>
          </w:p>
        </w:tc>
        <w:tc>
          <w:tcPr>
            <w:tcW w:w="2875" w:type="dxa"/>
            <w:tcBorders>
              <w:top w:val="nil"/>
              <w:left w:val="nil"/>
              <w:bottom w:val="single" w:sz="4" w:space="0" w:color="auto"/>
              <w:right w:val="single" w:sz="4" w:space="0" w:color="auto"/>
            </w:tcBorders>
            <w:vAlign w:val="center"/>
          </w:tcPr>
          <w:p w14:paraId="01CA8205" w14:textId="77777777" w:rsidR="00CE6F7F" w:rsidRPr="00A94315" w:rsidRDefault="00CE6F7F" w:rsidP="00C5464C">
            <w:pPr>
              <w:jc w:val="right"/>
              <w:rPr>
                <w:color w:val="000000"/>
              </w:rPr>
            </w:pPr>
            <w:r w:rsidRPr="00A94315">
              <w:rPr>
                <w:color w:val="000000"/>
              </w:rPr>
              <w:t>-1,060</w:t>
            </w:r>
          </w:p>
        </w:tc>
      </w:tr>
      <w:tr w:rsidR="00CE6F7F" w:rsidRPr="00A94315" w14:paraId="7A213C21" w14:textId="77777777" w:rsidTr="00C5464C">
        <w:trPr>
          <w:trHeight w:val="315"/>
        </w:trPr>
        <w:tc>
          <w:tcPr>
            <w:tcW w:w="6500" w:type="dxa"/>
            <w:gridSpan w:val="2"/>
            <w:tcBorders>
              <w:top w:val="single" w:sz="4" w:space="0" w:color="auto"/>
              <w:left w:val="single" w:sz="4" w:space="0" w:color="auto"/>
              <w:bottom w:val="single" w:sz="4" w:space="0" w:color="auto"/>
              <w:right w:val="single" w:sz="4" w:space="0" w:color="auto"/>
            </w:tcBorders>
            <w:vAlign w:val="center"/>
          </w:tcPr>
          <w:p w14:paraId="55E74958" w14:textId="77777777" w:rsidR="00CE6F7F" w:rsidRPr="00A94315" w:rsidRDefault="00CE6F7F" w:rsidP="00C5464C">
            <w:pPr>
              <w:rPr>
                <w:b/>
                <w:bCs/>
                <w:color w:val="000000"/>
              </w:rPr>
            </w:pPr>
            <w:r w:rsidRPr="00A94315">
              <w:rPr>
                <w:b/>
                <w:bCs/>
                <w:color w:val="000000"/>
              </w:rPr>
              <w:t xml:space="preserve">Net energy production </w:t>
            </w:r>
            <w:r w:rsidRPr="00A94315">
              <w:rPr>
                <w:bCs/>
                <w:color w:val="000000"/>
              </w:rPr>
              <w:t>(rounded)</w:t>
            </w:r>
          </w:p>
        </w:tc>
        <w:tc>
          <w:tcPr>
            <w:tcW w:w="2875" w:type="dxa"/>
            <w:tcBorders>
              <w:top w:val="nil"/>
              <w:left w:val="nil"/>
              <w:bottom w:val="single" w:sz="4" w:space="0" w:color="auto"/>
              <w:right w:val="single" w:sz="4" w:space="0" w:color="auto"/>
            </w:tcBorders>
            <w:vAlign w:val="center"/>
          </w:tcPr>
          <w:p w14:paraId="24F585F8" w14:textId="77777777" w:rsidR="00CE6F7F" w:rsidRPr="00A94315" w:rsidRDefault="00CE6F7F" w:rsidP="00C5464C">
            <w:pPr>
              <w:jc w:val="right"/>
              <w:rPr>
                <w:b/>
                <w:bCs/>
                <w:color w:val="000000"/>
              </w:rPr>
            </w:pPr>
            <w:r w:rsidRPr="00A94315">
              <w:rPr>
                <w:b/>
                <w:bCs/>
                <w:color w:val="000000"/>
              </w:rPr>
              <w:t>3,300</w:t>
            </w:r>
          </w:p>
        </w:tc>
      </w:tr>
    </w:tbl>
    <w:p w14:paraId="2CC514B7" w14:textId="77777777" w:rsidR="0079512F" w:rsidRDefault="0079512F" w:rsidP="004872F2">
      <w:pPr>
        <w:widowControl w:val="0"/>
        <w:autoSpaceDE w:val="0"/>
        <w:autoSpaceDN w:val="0"/>
        <w:adjustRightInd w:val="0"/>
        <w:jc w:val="both"/>
      </w:pPr>
    </w:p>
    <w:p w14:paraId="49FAC5CB" w14:textId="568B3A3B" w:rsidR="00CE6F7F" w:rsidRPr="00A94315" w:rsidRDefault="00CE6F7F" w:rsidP="004872F2">
      <w:pPr>
        <w:widowControl w:val="0"/>
        <w:autoSpaceDE w:val="0"/>
        <w:autoSpaceDN w:val="0"/>
        <w:adjustRightInd w:val="0"/>
        <w:jc w:val="both"/>
      </w:pPr>
      <w:r w:rsidRPr="00A94315">
        <w:t xml:space="preserve">Table 2 presents a scenario to attain a 2035 objective of net zero carbon emissions.  The </w:t>
      </w:r>
      <w:r w:rsidRPr="00A94315">
        <w:rPr>
          <w:color w:val="000000"/>
        </w:rPr>
        <w:t>U.S. Energy Information Administration (EIA) (2011) presents current projec</w:t>
      </w:r>
      <w:r w:rsidR="00725ADE" w:rsidRPr="00A94315">
        <w:rPr>
          <w:color w:val="000000"/>
        </w:rPr>
        <w:t>tions as 600 quadrillion Btu/</w:t>
      </w:r>
      <w:proofErr w:type="spellStart"/>
      <w:r w:rsidR="00725ADE" w:rsidRPr="00A94315">
        <w:rPr>
          <w:color w:val="000000"/>
        </w:rPr>
        <w:t>y</w:t>
      </w:r>
      <w:r w:rsidRPr="00A94315">
        <w:rPr>
          <w:color w:val="000000"/>
        </w:rPr>
        <w:t>r</w:t>
      </w:r>
      <w:proofErr w:type="spellEnd"/>
      <w:r w:rsidRPr="00A94315" w:rsidDel="003334B8">
        <w:rPr>
          <w:color w:val="000000"/>
        </w:rPr>
        <w:t xml:space="preserve"> </w:t>
      </w:r>
      <w:r w:rsidR="00725ADE" w:rsidRPr="00A94315">
        <w:rPr>
          <w:color w:val="000000"/>
        </w:rPr>
        <w:t>(176 million GWh/</w:t>
      </w:r>
      <w:proofErr w:type="spellStart"/>
      <w:r w:rsidR="00725ADE" w:rsidRPr="00A94315">
        <w:rPr>
          <w:color w:val="000000"/>
        </w:rPr>
        <w:t>y</w:t>
      </w:r>
      <w:r w:rsidRPr="00A94315">
        <w:rPr>
          <w:color w:val="000000"/>
        </w:rPr>
        <w:t>r</w:t>
      </w:r>
      <w:proofErr w:type="spellEnd"/>
      <w:r w:rsidRPr="00A94315">
        <w:rPr>
          <w:color w:val="000000"/>
        </w:rPr>
        <w:t xml:space="preserve">) global fossil fuel use </w:t>
      </w:r>
      <w:r w:rsidRPr="00A94315">
        <w:t>by 2035, producing 43 metric tons of CO</w:t>
      </w:r>
      <w:r w:rsidRPr="00A94315">
        <w:rPr>
          <w:vertAlign w:val="subscript"/>
        </w:rPr>
        <w:t>2</w:t>
      </w:r>
      <w:r w:rsidRPr="00A94315">
        <w:t>.  The 2035 OMA scenario would have OMA displace nearly half of the fossil fuels, while half of OMA combustion-CO</w:t>
      </w:r>
      <w:r w:rsidRPr="00A94315">
        <w:rPr>
          <w:vertAlign w:val="subscript"/>
        </w:rPr>
        <w:t>2</w:t>
      </w:r>
      <w:r w:rsidRPr="00A94315">
        <w:t xml:space="preserve"> exhaust and a third of remaining fossil CO</w:t>
      </w:r>
      <w:r w:rsidRPr="00A94315">
        <w:rPr>
          <w:vertAlign w:val="subscript"/>
        </w:rPr>
        <w:t>2</w:t>
      </w:r>
      <w:r w:rsidRPr="00A94315">
        <w:t xml:space="preserve"> emissions would be captured from power plant exhaust and stored.  In addition, all 8 billion tons from the OMA bio-CO</w:t>
      </w:r>
      <w:r w:rsidRPr="00A94315">
        <w:rPr>
          <w:vertAlign w:val="subscript"/>
        </w:rPr>
        <w:t>2</w:t>
      </w:r>
      <w:r w:rsidRPr="00A94315">
        <w:t xml:space="preserve"> would be stored, producing a carbon </w:t>
      </w:r>
      <w:r w:rsidRPr="00A94315">
        <w:lastRenderedPageBreak/>
        <w:t xml:space="preserve">neutral world.  Varying the proportions of fossil fuel use, other renewable energy, OMA energy, and OMA sequestration would yield other scenarios.  </w:t>
      </w:r>
    </w:p>
    <w:p w14:paraId="3482C906" w14:textId="77777777" w:rsidR="00CE6F7F" w:rsidRPr="00B801BC" w:rsidRDefault="00CE6F7F" w:rsidP="00F55579">
      <w:pPr>
        <w:widowControl w:val="0"/>
        <w:autoSpaceDE w:val="0"/>
        <w:autoSpaceDN w:val="0"/>
        <w:adjustRightInd w:val="0"/>
        <w:jc w:val="both"/>
        <w:rPr>
          <w:sz w:val="18"/>
        </w:rPr>
      </w:pPr>
    </w:p>
    <w:tbl>
      <w:tblPr>
        <w:tblW w:w="9560" w:type="dxa"/>
        <w:tblInd w:w="93" w:type="dxa"/>
        <w:tblLook w:val="00A0" w:firstRow="1" w:lastRow="0" w:firstColumn="1" w:lastColumn="0" w:noHBand="0" w:noVBand="0"/>
      </w:tblPr>
      <w:tblGrid>
        <w:gridCol w:w="5012"/>
        <w:gridCol w:w="1323"/>
        <w:gridCol w:w="1075"/>
        <w:gridCol w:w="1075"/>
        <w:gridCol w:w="1075"/>
      </w:tblGrid>
      <w:tr w:rsidR="00CE6F7F" w:rsidRPr="00A94315" w14:paraId="391CE870" w14:textId="77777777" w:rsidTr="004872F2">
        <w:trPr>
          <w:trHeight w:val="312"/>
        </w:trPr>
        <w:tc>
          <w:tcPr>
            <w:tcW w:w="9560" w:type="dxa"/>
            <w:gridSpan w:val="5"/>
            <w:tcBorders>
              <w:top w:val="single" w:sz="8" w:space="0" w:color="auto"/>
              <w:left w:val="single" w:sz="8" w:space="0" w:color="auto"/>
              <w:bottom w:val="single" w:sz="4" w:space="0" w:color="auto"/>
              <w:right w:val="single" w:sz="8" w:space="0" w:color="000000"/>
            </w:tcBorders>
            <w:vAlign w:val="center"/>
          </w:tcPr>
          <w:p w14:paraId="1866C193" w14:textId="77777777" w:rsidR="00CE6F7F" w:rsidRPr="00A94315" w:rsidRDefault="00CE6F7F" w:rsidP="004872F2">
            <w:pPr>
              <w:jc w:val="center"/>
              <w:rPr>
                <w:color w:val="000000"/>
              </w:rPr>
            </w:pPr>
            <w:bookmarkStart w:id="1" w:name="RANGE!A2:E15"/>
            <w:bookmarkEnd w:id="1"/>
            <w:r w:rsidRPr="00A94315">
              <w:rPr>
                <w:color w:val="000000"/>
              </w:rPr>
              <w:t>Table 2 - Scenarios for OMA to remove anthropomorphic CO</w:t>
            </w:r>
            <w:r w:rsidRPr="00A94315">
              <w:rPr>
                <w:color w:val="000000"/>
                <w:vertAlign w:val="subscript"/>
              </w:rPr>
              <w:t>2</w:t>
            </w:r>
          </w:p>
        </w:tc>
      </w:tr>
      <w:tr w:rsidR="00CE6F7F" w:rsidRPr="00A94315" w14:paraId="63D9CF5A" w14:textId="77777777" w:rsidTr="004872F2">
        <w:trPr>
          <w:trHeight w:val="312"/>
        </w:trPr>
        <w:tc>
          <w:tcPr>
            <w:tcW w:w="5060" w:type="dxa"/>
            <w:tcBorders>
              <w:top w:val="nil"/>
              <w:left w:val="single" w:sz="8" w:space="0" w:color="auto"/>
              <w:bottom w:val="single" w:sz="4" w:space="0" w:color="auto"/>
              <w:right w:val="single" w:sz="4" w:space="0" w:color="auto"/>
            </w:tcBorders>
            <w:vAlign w:val="center"/>
          </w:tcPr>
          <w:p w14:paraId="250DE7D5" w14:textId="77777777" w:rsidR="00CE6F7F" w:rsidRPr="00A94315" w:rsidRDefault="00CE6F7F" w:rsidP="004872F2">
            <w:pPr>
              <w:rPr>
                <w:color w:val="000000"/>
              </w:rPr>
            </w:pPr>
            <w:r w:rsidRPr="00A94315">
              <w:rPr>
                <w:color w:val="000000"/>
              </w:rPr>
              <w:t>Scenario parameter during scenario year</w:t>
            </w:r>
          </w:p>
        </w:tc>
        <w:tc>
          <w:tcPr>
            <w:tcW w:w="1260" w:type="dxa"/>
            <w:tcBorders>
              <w:top w:val="nil"/>
              <w:left w:val="nil"/>
              <w:bottom w:val="single" w:sz="4" w:space="0" w:color="auto"/>
              <w:right w:val="single" w:sz="4" w:space="0" w:color="auto"/>
            </w:tcBorders>
            <w:vAlign w:val="center"/>
          </w:tcPr>
          <w:p w14:paraId="2183935F" w14:textId="743F5DFE" w:rsidR="00CE6F7F" w:rsidRPr="00A94315" w:rsidRDefault="00452D41" w:rsidP="004872F2">
            <w:pPr>
              <w:jc w:val="center"/>
              <w:rPr>
                <w:color w:val="000000"/>
              </w:rPr>
            </w:pPr>
            <w:r w:rsidRPr="00A94315">
              <w:rPr>
                <w:color w:val="000000"/>
              </w:rPr>
              <w:t>U</w:t>
            </w:r>
            <w:r w:rsidR="00CE6F7F" w:rsidRPr="00A94315">
              <w:rPr>
                <w:color w:val="000000"/>
              </w:rPr>
              <w:t>nits</w:t>
            </w:r>
          </w:p>
        </w:tc>
        <w:tc>
          <w:tcPr>
            <w:tcW w:w="1080" w:type="dxa"/>
            <w:tcBorders>
              <w:top w:val="nil"/>
              <w:left w:val="nil"/>
              <w:bottom w:val="single" w:sz="4" w:space="0" w:color="auto"/>
              <w:right w:val="single" w:sz="4" w:space="0" w:color="auto"/>
            </w:tcBorders>
            <w:vAlign w:val="center"/>
          </w:tcPr>
          <w:p w14:paraId="4FB977CE" w14:textId="77777777" w:rsidR="00CE6F7F" w:rsidRPr="00A94315" w:rsidRDefault="00CE6F7F" w:rsidP="004872F2">
            <w:pPr>
              <w:jc w:val="right"/>
              <w:rPr>
                <w:color w:val="000000"/>
              </w:rPr>
            </w:pPr>
            <w:r w:rsidRPr="00A94315">
              <w:rPr>
                <w:color w:val="000000"/>
              </w:rPr>
              <w:t>2035</w:t>
            </w:r>
          </w:p>
        </w:tc>
        <w:tc>
          <w:tcPr>
            <w:tcW w:w="1080" w:type="dxa"/>
            <w:tcBorders>
              <w:top w:val="nil"/>
              <w:left w:val="nil"/>
              <w:bottom w:val="single" w:sz="4" w:space="0" w:color="auto"/>
              <w:right w:val="single" w:sz="4" w:space="0" w:color="auto"/>
            </w:tcBorders>
            <w:vAlign w:val="center"/>
          </w:tcPr>
          <w:p w14:paraId="193600F1" w14:textId="77777777" w:rsidR="00CE6F7F" w:rsidRPr="00A94315" w:rsidRDefault="00CE6F7F" w:rsidP="004872F2">
            <w:pPr>
              <w:jc w:val="right"/>
              <w:rPr>
                <w:color w:val="000000"/>
              </w:rPr>
            </w:pPr>
            <w:r w:rsidRPr="00A94315">
              <w:rPr>
                <w:color w:val="000000"/>
              </w:rPr>
              <w:t>2050</w:t>
            </w:r>
          </w:p>
        </w:tc>
        <w:tc>
          <w:tcPr>
            <w:tcW w:w="1080" w:type="dxa"/>
            <w:tcBorders>
              <w:top w:val="nil"/>
              <w:left w:val="nil"/>
              <w:bottom w:val="single" w:sz="4" w:space="0" w:color="auto"/>
              <w:right w:val="single" w:sz="8" w:space="0" w:color="auto"/>
            </w:tcBorders>
            <w:vAlign w:val="center"/>
          </w:tcPr>
          <w:p w14:paraId="47CECEA1" w14:textId="77777777" w:rsidR="00CE6F7F" w:rsidRPr="00A94315" w:rsidRDefault="00CE6F7F" w:rsidP="004872F2">
            <w:pPr>
              <w:jc w:val="right"/>
              <w:rPr>
                <w:color w:val="000000"/>
              </w:rPr>
            </w:pPr>
            <w:r w:rsidRPr="00A94315">
              <w:rPr>
                <w:color w:val="000000"/>
              </w:rPr>
              <w:t>2070</w:t>
            </w:r>
          </w:p>
        </w:tc>
      </w:tr>
      <w:tr w:rsidR="00CE6F7F" w:rsidRPr="00A94315" w14:paraId="50F89E2E" w14:textId="77777777" w:rsidTr="004872F2">
        <w:trPr>
          <w:trHeight w:val="936"/>
        </w:trPr>
        <w:tc>
          <w:tcPr>
            <w:tcW w:w="5060" w:type="dxa"/>
            <w:tcBorders>
              <w:top w:val="nil"/>
              <w:left w:val="single" w:sz="8" w:space="0" w:color="auto"/>
              <w:bottom w:val="single" w:sz="4" w:space="0" w:color="auto"/>
              <w:right w:val="single" w:sz="4" w:space="0" w:color="auto"/>
            </w:tcBorders>
            <w:vAlign w:val="center"/>
          </w:tcPr>
          <w:p w14:paraId="35F499DF" w14:textId="77777777" w:rsidR="00CE6F7F" w:rsidRPr="00A94315" w:rsidRDefault="00CE6F7F" w:rsidP="004872F2">
            <w:pPr>
              <w:rPr>
                <w:color w:val="000000"/>
              </w:rPr>
            </w:pPr>
            <w:r w:rsidRPr="00A94315">
              <w:rPr>
                <w:color w:val="000000"/>
              </w:rPr>
              <w:t>Global energy quantity: EIA (2011) prediction of energy needed from fossil fuels in 2035 (600 Quads = 176 million GWh)</w:t>
            </w:r>
          </w:p>
        </w:tc>
        <w:tc>
          <w:tcPr>
            <w:tcW w:w="1260" w:type="dxa"/>
            <w:vMerge w:val="restart"/>
            <w:tcBorders>
              <w:top w:val="nil"/>
              <w:left w:val="single" w:sz="4" w:space="0" w:color="auto"/>
              <w:bottom w:val="single" w:sz="8" w:space="0" w:color="000000"/>
              <w:right w:val="single" w:sz="4" w:space="0" w:color="auto"/>
            </w:tcBorders>
            <w:vAlign w:val="center"/>
          </w:tcPr>
          <w:p w14:paraId="03BFC241" w14:textId="77777777" w:rsidR="00CE6F7F" w:rsidRPr="00A94315" w:rsidRDefault="00CE6F7F" w:rsidP="004872F2">
            <w:pPr>
              <w:jc w:val="center"/>
              <w:rPr>
                <w:color w:val="000000"/>
              </w:rPr>
            </w:pPr>
            <w:r w:rsidRPr="00A94315">
              <w:rPr>
                <w:color w:val="000000"/>
              </w:rPr>
              <w:t>Quadrillion Btu/year</w:t>
            </w:r>
          </w:p>
        </w:tc>
        <w:tc>
          <w:tcPr>
            <w:tcW w:w="1080" w:type="dxa"/>
            <w:tcBorders>
              <w:top w:val="nil"/>
              <w:left w:val="nil"/>
              <w:bottom w:val="single" w:sz="4" w:space="0" w:color="auto"/>
              <w:right w:val="single" w:sz="4" w:space="0" w:color="auto"/>
            </w:tcBorders>
            <w:vAlign w:val="center"/>
          </w:tcPr>
          <w:p w14:paraId="6E8BDA9A" w14:textId="77777777" w:rsidR="00CE6F7F" w:rsidRPr="00A94315" w:rsidRDefault="00CE6F7F" w:rsidP="004872F2">
            <w:pPr>
              <w:jc w:val="right"/>
              <w:rPr>
                <w:color w:val="000000"/>
              </w:rPr>
            </w:pPr>
            <w:r w:rsidRPr="00A94315">
              <w:rPr>
                <w:color w:val="000000"/>
              </w:rPr>
              <w:t>600</w:t>
            </w:r>
          </w:p>
        </w:tc>
        <w:tc>
          <w:tcPr>
            <w:tcW w:w="1080" w:type="dxa"/>
            <w:tcBorders>
              <w:top w:val="nil"/>
              <w:left w:val="nil"/>
              <w:bottom w:val="single" w:sz="4" w:space="0" w:color="auto"/>
              <w:right w:val="single" w:sz="4" w:space="0" w:color="auto"/>
            </w:tcBorders>
            <w:vAlign w:val="center"/>
          </w:tcPr>
          <w:p w14:paraId="064E3F7C" w14:textId="77777777" w:rsidR="00CE6F7F" w:rsidRPr="00A94315" w:rsidRDefault="00CE6F7F" w:rsidP="004872F2">
            <w:pPr>
              <w:jc w:val="right"/>
              <w:rPr>
                <w:color w:val="000000"/>
              </w:rPr>
            </w:pPr>
            <w:r w:rsidRPr="00A94315">
              <w:rPr>
                <w:color w:val="000000"/>
              </w:rPr>
              <w:t>600</w:t>
            </w:r>
          </w:p>
        </w:tc>
        <w:tc>
          <w:tcPr>
            <w:tcW w:w="1080" w:type="dxa"/>
            <w:tcBorders>
              <w:top w:val="nil"/>
              <w:left w:val="nil"/>
              <w:bottom w:val="single" w:sz="4" w:space="0" w:color="auto"/>
              <w:right w:val="single" w:sz="8" w:space="0" w:color="auto"/>
            </w:tcBorders>
            <w:vAlign w:val="center"/>
          </w:tcPr>
          <w:p w14:paraId="02E61D24" w14:textId="77777777" w:rsidR="00CE6F7F" w:rsidRPr="00A94315" w:rsidRDefault="00CE6F7F" w:rsidP="004872F2">
            <w:pPr>
              <w:jc w:val="right"/>
              <w:rPr>
                <w:color w:val="000000"/>
              </w:rPr>
            </w:pPr>
            <w:r w:rsidRPr="00A94315">
              <w:rPr>
                <w:color w:val="000000"/>
              </w:rPr>
              <w:t>600</w:t>
            </w:r>
          </w:p>
        </w:tc>
      </w:tr>
      <w:tr w:rsidR="00CE6F7F" w:rsidRPr="00A94315" w14:paraId="01ACFEA7" w14:textId="77777777" w:rsidTr="004872F2">
        <w:trPr>
          <w:trHeight w:val="672"/>
        </w:trPr>
        <w:tc>
          <w:tcPr>
            <w:tcW w:w="5060" w:type="dxa"/>
            <w:tcBorders>
              <w:top w:val="nil"/>
              <w:left w:val="single" w:sz="8" w:space="0" w:color="auto"/>
              <w:bottom w:val="single" w:sz="4" w:space="0" w:color="auto"/>
              <w:right w:val="single" w:sz="4" w:space="0" w:color="auto"/>
            </w:tcBorders>
            <w:vAlign w:val="center"/>
          </w:tcPr>
          <w:p w14:paraId="6CD93C14" w14:textId="77777777" w:rsidR="00CE6F7F" w:rsidRPr="00A94315" w:rsidRDefault="00CE6F7F" w:rsidP="004872F2">
            <w:pPr>
              <w:rPr>
                <w:color w:val="000000"/>
              </w:rPr>
            </w:pPr>
            <w:r w:rsidRPr="00A94315">
              <w:rPr>
                <w:color w:val="000000"/>
              </w:rPr>
              <w:t>Total OMA renewable energy output, from CH</w:t>
            </w:r>
            <w:r w:rsidRPr="00A94315">
              <w:rPr>
                <w:color w:val="000000"/>
                <w:vertAlign w:val="subscript"/>
              </w:rPr>
              <w:t>4</w:t>
            </w:r>
            <w:r w:rsidRPr="00A94315">
              <w:rPr>
                <w:color w:val="000000"/>
              </w:rPr>
              <w:t xml:space="preserve"> (before efficiency losses electricity conversion)</w:t>
            </w:r>
          </w:p>
        </w:tc>
        <w:tc>
          <w:tcPr>
            <w:tcW w:w="1260" w:type="dxa"/>
            <w:vMerge/>
            <w:tcBorders>
              <w:top w:val="nil"/>
              <w:left w:val="single" w:sz="4" w:space="0" w:color="auto"/>
              <w:bottom w:val="single" w:sz="8" w:space="0" w:color="000000"/>
              <w:right w:val="single" w:sz="4" w:space="0" w:color="auto"/>
            </w:tcBorders>
            <w:vAlign w:val="center"/>
          </w:tcPr>
          <w:p w14:paraId="64E2B54A" w14:textId="77777777" w:rsidR="00CE6F7F" w:rsidRPr="00A94315" w:rsidRDefault="00CE6F7F" w:rsidP="004872F2">
            <w:pPr>
              <w:rPr>
                <w:color w:val="000000"/>
              </w:rPr>
            </w:pPr>
          </w:p>
        </w:tc>
        <w:tc>
          <w:tcPr>
            <w:tcW w:w="1080" w:type="dxa"/>
            <w:tcBorders>
              <w:top w:val="nil"/>
              <w:left w:val="nil"/>
              <w:bottom w:val="single" w:sz="4" w:space="0" w:color="auto"/>
              <w:right w:val="single" w:sz="4" w:space="0" w:color="auto"/>
            </w:tcBorders>
            <w:vAlign w:val="center"/>
          </w:tcPr>
          <w:p w14:paraId="6851B29E" w14:textId="77777777" w:rsidR="00CE6F7F" w:rsidRPr="00A94315" w:rsidRDefault="00CE6F7F" w:rsidP="004872F2">
            <w:pPr>
              <w:jc w:val="right"/>
              <w:rPr>
                <w:color w:val="000000"/>
              </w:rPr>
            </w:pPr>
            <w:r w:rsidRPr="00A94315">
              <w:rPr>
                <w:color w:val="000000"/>
              </w:rPr>
              <w:t>280</w:t>
            </w:r>
          </w:p>
        </w:tc>
        <w:tc>
          <w:tcPr>
            <w:tcW w:w="1080" w:type="dxa"/>
            <w:tcBorders>
              <w:top w:val="nil"/>
              <w:left w:val="nil"/>
              <w:bottom w:val="single" w:sz="4" w:space="0" w:color="auto"/>
              <w:right w:val="single" w:sz="4" w:space="0" w:color="auto"/>
            </w:tcBorders>
            <w:vAlign w:val="center"/>
          </w:tcPr>
          <w:p w14:paraId="213E5654" w14:textId="77777777" w:rsidR="00CE6F7F" w:rsidRPr="00A94315" w:rsidRDefault="00CE6F7F" w:rsidP="004872F2">
            <w:pPr>
              <w:jc w:val="right"/>
              <w:rPr>
                <w:color w:val="000000"/>
              </w:rPr>
            </w:pPr>
            <w:r w:rsidRPr="00A94315">
              <w:rPr>
                <w:color w:val="000000"/>
              </w:rPr>
              <w:t>420</w:t>
            </w:r>
          </w:p>
        </w:tc>
        <w:tc>
          <w:tcPr>
            <w:tcW w:w="1080" w:type="dxa"/>
            <w:tcBorders>
              <w:top w:val="nil"/>
              <w:left w:val="nil"/>
              <w:bottom w:val="single" w:sz="4" w:space="0" w:color="auto"/>
              <w:right w:val="single" w:sz="8" w:space="0" w:color="auto"/>
            </w:tcBorders>
            <w:vAlign w:val="center"/>
          </w:tcPr>
          <w:p w14:paraId="6F82A2D0" w14:textId="77777777" w:rsidR="00CE6F7F" w:rsidRPr="00A94315" w:rsidRDefault="00CE6F7F" w:rsidP="004872F2">
            <w:pPr>
              <w:jc w:val="right"/>
              <w:rPr>
                <w:color w:val="000000"/>
              </w:rPr>
            </w:pPr>
            <w:r w:rsidRPr="00A94315">
              <w:rPr>
                <w:color w:val="000000"/>
              </w:rPr>
              <w:t>620</w:t>
            </w:r>
          </w:p>
        </w:tc>
      </w:tr>
      <w:tr w:rsidR="00CE6F7F" w:rsidRPr="00A94315" w14:paraId="610CB7F6" w14:textId="77777777" w:rsidTr="004872F2">
        <w:trPr>
          <w:trHeight w:val="324"/>
        </w:trPr>
        <w:tc>
          <w:tcPr>
            <w:tcW w:w="5060" w:type="dxa"/>
            <w:tcBorders>
              <w:top w:val="nil"/>
              <w:left w:val="single" w:sz="8" w:space="0" w:color="auto"/>
              <w:bottom w:val="single" w:sz="8" w:space="0" w:color="auto"/>
              <w:right w:val="single" w:sz="4" w:space="0" w:color="auto"/>
            </w:tcBorders>
            <w:vAlign w:val="center"/>
          </w:tcPr>
          <w:p w14:paraId="64B1EE29" w14:textId="77777777" w:rsidR="00CE6F7F" w:rsidRPr="00A94315" w:rsidRDefault="00CE6F7F" w:rsidP="004872F2">
            <w:pPr>
              <w:rPr>
                <w:color w:val="000000"/>
              </w:rPr>
            </w:pPr>
            <w:r w:rsidRPr="00A94315">
              <w:rPr>
                <w:color w:val="000000"/>
              </w:rPr>
              <w:t>Remaining fossil fuel energy in scenario year</w:t>
            </w:r>
          </w:p>
        </w:tc>
        <w:tc>
          <w:tcPr>
            <w:tcW w:w="1260" w:type="dxa"/>
            <w:vMerge/>
            <w:tcBorders>
              <w:top w:val="nil"/>
              <w:left w:val="single" w:sz="4" w:space="0" w:color="auto"/>
              <w:bottom w:val="single" w:sz="8" w:space="0" w:color="000000"/>
              <w:right w:val="single" w:sz="4" w:space="0" w:color="auto"/>
            </w:tcBorders>
            <w:vAlign w:val="center"/>
          </w:tcPr>
          <w:p w14:paraId="190A7C28" w14:textId="77777777" w:rsidR="00CE6F7F" w:rsidRPr="00A94315" w:rsidRDefault="00CE6F7F" w:rsidP="004872F2">
            <w:pPr>
              <w:rPr>
                <w:color w:val="000000"/>
              </w:rPr>
            </w:pPr>
          </w:p>
        </w:tc>
        <w:tc>
          <w:tcPr>
            <w:tcW w:w="1080" w:type="dxa"/>
            <w:tcBorders>
              <w:top w:val="nil"/>
              <w:left w:val="nil"/>
              <w:bottom w:val="single" w:sz="8" w:space="0" w:color="auto"/>
              <w:right w:val="single" w:sz="4" w:space="0" w:color="auto"/>
            </w:tcBorders>
            <w:vAlign w:val="center"/>
          </w:tcPr>
          <w:p w14:paraId="4249CC2B" w14:textId="77777777" w:rsidR="00CE6F7F" w:rsidRPr="00A94315" w:rsidRDefault="00CE6F7F" w:rsidP="004872F2">
            <w:pPr>
              <w:jc w:val="right"/>
              <w:rPr>
                <w:color w:val="000000"/>
              </w:rPr>
            </w:pPr>
            <w:r w:rsidRPr="00A94315">
              <w:rPr>
                <w:color w:val="000000"/>
              </w:rPr>
              <w:t>320</w:t>
            </w:r>
          </w:p>
        </w:tc>
        <w:tc>
          <w:tcPr>
            <w:tcW w:w="1080" w:type="dxa"/>
            <w:tcBorders>
              <w:top w:val="nil"/>
              <w:left w:val="nil"/>
              <w:bottom w:val="single" w:sz="8" w:space="0" w:color="auto"/>
              <w:right w:val="single" w:sz="4" w:space="0" w:color="auto"/>
            </w:tcBorders>
            <w:vAlign w:val="center"/>
          </w:tcPr>
          <w:p w14:paraId="242A6BF5" w14:textId="77777777" w:rsidR="00CE6F7F" w:rsidRPr="00A94315" w:rsidRDefault="00CE6F7F" w:rsidP="004872F2">
            <w:pPr>
              <w:jc w:val="right"/>
              <w:rPr>
                <w:color w:val="000000"/>
              </w:rPr>
            </w:pPr>
            <w:r w:rsidRPr="00A94315">
              <w:rPr>
                <w:color w:val="000000"/>
              </w:rPr>
              <w:t>180</w:t>
            </w:r>
          </w:p>
        </w:tc>
        <w:tc>
          <w:tcPr>
            <w:tcW w:w="1080" w:type="dxa"/>
            <w:tcBorders>
              <w:top w:val="nil"/>
              <w:left w:val="nil"/>
              <w:bottom w:val="single" w:sz="8" w:space="0" w:color="auto"/>
              <w:right w:val="single" w:sz="8" w:space="0" w:color="auto"/>
            </w:tcBorders>
            <w:vAlign w:val="center"/>
          </w:tcPr>
          <w:p w14:paraId="0A7C63C8" w14:textId="77777777" w:rsidR="00CE6F7F" w:rsidRPr="00A94315" w:rsidRDefault="00CE6F7F" w:rsidP="004872F2">
            <w:pPr>
              <w:jc w:val="right"/>
              <w:rPr>
                <w:color w:val="000000"/>
              </w:rPr>
            </w:pPr>
            <w:r w:rsidRPr="00A94315">
              <w:rPr>
                <w:color w:val="000000"/>
              </w:rPr>
              <w:t>0</w:t>
            </w:r>
          </w:p>
        </w:tc>
      </w:tr>
      <w:tr w:rsidR="00CE6F7F" w:rsidRPr="00A94315" w14:paraId="485A1549" w14:textId="77777777" w:rsidTr="004872F2">
        <w:trPr>
          <w:trHeight w:val="360"/>
        </w:trPr>
        <w:tc>
          <w:tcPr>
            <w:tcW w:w="5060" w:type="dxa"/>
            <w:tcBorders>
              <w:top w:val="nil"/>
              <w:left w:val="single" w:sz="8" w:space="0" w:color="auto"/>
              <w:bottom w:val="single" w:sz="4" w:space="0" w:color="auto"/>
              <w:right w:val="single" w:sz="4" w:space="0" w:color="auto"/>
            </w:tcBorders>
            <w:vAlign w:val="center"/>
          </w:tcPr>
          <w:p w14:paraId="3FFA3D12" w14:textId="77777777" w:rsidR="00CE6F7F" w:rsidRPr="00A94315" w:rsidRDefault="00CE6F7F" w:rsidP="004872F2">
            <w:pPr>
              <w:rPr>
                <w:rFonts w:ascii="Times" w:hAnsi="Times" w:cs="Times"/>
                <w:color w:val="000000"/>
              </w:rPr>
            </w:pPr>
            <w:r w:rsidRPr="00A94315">
              <w:rPr>
                <w:rFonts w:ascii="Times" w:hAnsi="Times" w:cs="Times"/>
                <w:color w:val="000000"/>
              </w:rPr>
              <w:t>Prediction of fossil CO</w:t>
            </w:r>
            <w:r w:rsidRPr="00A94315">
              <w:rPr>
                <w:rFonts w:ascii="Times" w:hAnsi="Times" w:cs="Times"/>
                <w:color w:val="000000"/>
                <w:vertAlign w:val="subscript"/>
              </w:rPr>
              <w:t>2</w:t>
            </w:r>
            <w:r w:rsidRPr="00A94315">
              <w:rPr>
                <w:rFonts w:ascii="Times" w:hAnsi="Times" w:cs="Times"/>
                <w:color w:val="000000"/>
              </w:rPr>
              <w:t xml:space="preserve"> emissions </w:t>
            </w:r>
          </w:p>
        </w:tc>
        <w:tc>
          <w:tcPr>
            <w:tcW w:w="1260" w:type="dxa"/>
            <w:vMerge w:val="restart"/>
            <w:tcBorders>
              <w:top w:val="nil"/>
              <w:left w:val="single" w:sz="4" w:space="0" w:color="auto"/>
              <w:bottom w:val="single" w:sz="8" w:space="0" w:color="000000"/>
              <w:right w:val="single" w:sz="4" w:space="0" w:color="auto"/>
            </w:tcBorders>
            <w:vAlign w:val="center"/>
          </w:tcPr>
          <w:p w14:paraId="7E05BA2C" w14:textId="77777777" w:rsidR="00CE6F7F" w:rsidRPr="00A94315" w:rsidRDefault="00CE6F7F" w:rsidP="004872F2">
            <w:pPr>
              <w:jc w:val="center"/>
              <w:rPr>
                <w:color w:val="000000"/>
              </w:rPr>
            </w:pPr>
            <w:r w:rsidRPr="00A94315">
              <w:rPr>
                <w:color w:val="000000"/>
              </w:rPr>
              <w:t>Billion metric tons of CO</w:t>
            </w:r>
            <w:r w:rsidRPr="00A94315">
              <w:rPr>
                <w:color w:val="000000"/>
                <w:vertAlign w:val="subscript"/>
              </w:rPr>
              <w:t>2</w:t>
            </w:r>
            <w:r w:rsidRPr="00A94315">
              <w:rPr>
                <w:color w:val="000000"/>
              </w:rPr>
              <w:t>/year</w:t>
            </w:r>
          </w:p>
        </w:tc>
        <w:tc>
          <w:tcPr>
            <w:tcW w:w="1080" w:type="dxa"/>
            <w:tcBorders>
              <w:top w:val="nil"/>
              <w:left w:val="nil"/>
              <w:bottom w:val="single" w:sz="4" w:space="0" w:color="auto"/>
              <w:right w:val="single" w:sz="4" w:space="0" w:color="auto"/>
            </w:tcBorders>
            <w:vAlign w:val="center"/>
          </w:tcPr>
          <w:p w14:paraId="3CC413A2" w14:textId="77777777" w:rsidR="00CE6F7F" w:rsidRPr="00A94315" w:rsidRDefault="00CE6F7F" w:rsidP="004872F2">
            <w:pPr>
              <w:jc w:val="right"/>
              <w:rPr>
                <w:rFonts w:ascii="Times" w:hAnsi="Times" w:cs="Times"/>
                <w:color w:val="000000"/>
              </w:rPr>
            </w:pPr>
            <w:r w:rsidRPr="00A94315">
              <w:rPr>
                <w:rFonts w:ascii="Times" w:hAnsi="Times" w:cs="Times"/>
                <w:color w:val="000000"/>
              </w:rPr>
              <w:t>43</w:t>
            </w:r>
          </w:p>
        </w:tc>
        <w:tc>
          <w:tcPr>
            <w:tcW w:w="1080" w:type="dxa"/>
            <w:tcBorders>
              <w:top w:val="nil"/>
              <w:left w:val="nil"/>
              <w:bottom w:val="single" w:sz="4" w:space="0" w:color="auto"/>
              <w:right w:val="single" w:sz="4" w:space="0" w:color="auto"/>
            </w:tcBorders>
            <w:vAlign w:val="center"/>
          </w:tcPr>
          <w:p w14:paraId="49320C30" w14:textId="77777777" w:rsidR="00CE6F7F" w:rsidRPr="00A94315" w:rsidRDefault="00CE6F7F" w:rsidP="004872F2">
            <w:pPr>
              <w:jc w:val="right"/>
              <w:rPr>
                <w:rFonts w:ascii="Times" w:hAnsi="Times" w:cs="Times"/>
                <w:color w:val="000000"/>
              </w:rPr>
            </w:pPr>
            <w:r w:rsidRPr="00A94315">
              <w:rPr>
                <w:rFonts w:ascii="Times" w:hAnsi="Times" w:cs="Times"/>
                <w:color w:val="000000"/>
              </w:rPr>
              <w:t>43</w:t>
            </w:r>
          </w:p>
        </w:tc>
        <w:tc>
          <w:tcPr>
            <w:tcW w:w="1080" w:type="dxa"/>
            <w:tcBorders>
              <w:top w:val="nil"/>
              <w:left w:val="nil"/>
              <w:bottom w:val="single" w:sz="4" w:space="0" w:color="auto"/>
              <w:right w:val="single" w:sz="8" w:space="0" w:color="auto"/>
            </w:tcBorders>
            <w:vAlign w:val="center"/>
          </w:tcPr>
          <w:p w14:paraId="200A5B37" w14:textId="77777777" w:rsidR="00CE6F7F" w:rsidRPr="00A94315" w:rsidRDefault="00CE6F7F" w:rsidP="004872F2">
            <w:pPr>
              <w:jc w:val="right"/>
              <w:rPr>
                <w:rFonts w:ascii="Times" w:hAnsi="Times" w:cs="Times"/>
                <w:color w:val="000000"/>
              </w:rPr>
            </w:pPr>
            <w:r w:rsidRPr="00A94315">
              <w:rPr>
                <w:rFonts w:ascii="Times" w:hAnsi="Times" w:cs="Times"/>
                <w:color w:val="000000"/>
              </w:rPr>
              <w:t>43</w:t>
            </w:r>
          </w:p>
        </w:tc>
      </w:tr>
      <w:tr w:rsidR="00CE6F7F" w:rsidRPr="00A94315" w14:paraId="5ADAADDB" w14:textId="77777777" w:rsidTr="004872F2">
        <w:trPr>
          <w:trHeight w:val="720"/>
        </w:trPr>
        <w:tc>
          <w:tcPr>
            <w:tcW w:w="5060" w:type="dxa"/>
            <w:tcBorders>
              <w:top w:val="nil"/>
              <w:left w:val="single" w:sz="8" w:space="0" w:color="auto"/>
              <w:bottom w:val="single" w:sz="4" w:space="0" w:color="auto"/>
              <w:right w:val="single" w:sz="4" w:space="0" w:color="auto"/>
            </w:tcBorders>
            <w:vAlign w:val="center"/>
          </w:tcPr>
          <w:p w14:paraId="42EF7639" w14:textId="77777777" w:rsidR="00CE6F7F" w:rsidRPr="00A94315" w:rsidRDefault="00CE6F7F" w:rsidP="004872F2">
            <w:pPr>
              <w:rPr>
                <w:rFonts w:ascii="Times" w:hAnsi="Times" w:cs="Times"/>
                <w:color w:val="000000"/>
              </w:rPr>
            </w:pPr>
            <w:r w:rsidRPr="00A94315">
              <w:rPr>
                <w:rFonts w:ascii="Times" w:hAnsi="Times" w:cs="Times"/>
                <w:color w:val="000000"/>
              </w:rPr>
              <w:t>Fossil CO</w:t>
            </w:r>
            <w:r w:rsidRPr="00A94315">
              <w:rPr>
                <w:rFonts w:ascii="Times" w:hAnsi="Times" w:cs="Times"/>
                <w:color w:val="000000"/>
                <w:vertAlign w:val="subscript"/>
              </w:rPr>
              <w:t>2</w:t>
            </w:r>
            <w:r w:rsidRPr="00A94315">
              <w:rPr>
                <w:rFonts w:ascii="Times" w:hAnsi="Times" w:cs="Times"/>
                <w:color w:val="000000"/>
              </w:rPr>
              <w:t xml:space="preserve"> emissions replaced by combustion of bio-CH</w:t>
            </w:r>
            <w:r w:rsidRPr="00A94315">
              <w:rPr>
                <w:rFonts w:ascii="Times" w:hAnsi="Times" w:cs="Times"/>
                <w:color w:val="000000"/>
                <w:vertAlign w:val="subscript"/>
              </w:rPr>
              <w:t>4</w:t>
            </w:r>
            <w:r w:rsidRPr="00A94315">
              <w:rPr>
                <w:rFonts w:ascii="Times" w:hAnsi="Times" w:cs="Times"/>
                <w:color w:val="000000"/>
              </w:rPr>
              <w:t xml:space="preserve"> from OMA</w:t>
            </w:r>
          </w:p>
        </w:tc>
        <w:tc>
          <w:tcPr>
            <w:tcW w:w="1260" w:type="dxa"/>
            <w:vMerge/>
            <w:tcBorders>
              <w:top w:val="nil"/>
              <w:left w:val="single" w:sz="4" w:space="0" w:color="auto"/>
              <w:bottom w:val="single" w:sz="8" w:space="0" w:color="000000"/>
              <w:right w:val="single" w:sz="4" w:space="0" w:color="auto"/>
            </w:tcBorders>
            <w:vAlign w:val="center"/>
          </w:tcPr>
          <w:p w14:paraId="77974757" w14:textId="77777777" w:rsidR="00CE6F7F" w:rsidRPr="00A94315" w:rsidRDefault="00CE6F7F" w:rsidP="004872F2">
            <w:pPr>
              <w:rPr>
                <w:color w:val="000000"/>
              </w:rPr>
            </w:pPr>
          </w:p>
        </w:tc>
        <w:tc>
          <w:tcPr>
            <w:tcW w:w="1080" w:type="dxa"/>
            <w:tcBorders>
              <w:top w:val="nil"/>
              <w:left w:val="nil"/>
              <w:bottom w:val="single" w:sz="4" w:space="0" w:color="auto"/>
              <w:right w:val="single" w:sz="4" w:space="0" w:color="auto"/>
            </w:tcBorders>
            <w:vAlign w:val="center"/>
          </w:tcPr>
          <w:p w14:paraId="0198BE42" w14:textId="77777777" w:rsidR="00CE6F7F" w:rsidRPr="00A94315" w:rsidRDefault="00CE6F7F" w:rsidP="004872F2">
            <w:pPr>
              <w:jc w:val="right"/>
              <w:rPr>
                <w:rFonts w:ascii="Times" w:hAnsi="Times" w:cs="Times"/>
                <w:color w:val="000000"/>
              </w:rPr>
            </w:pPr>
            <w:r w:rsidRPr="00A94315">
              <w:rPr>
                <w:rFonts w:ascii="Times" w:hAnsi="Times" w:cs="Times"/>
                <w:color w:val="000000"/>
              </w:rPr>
              <w:t>-20</w:t>
            </w:r>
          </w:p>
        </w:tc>
        <w:tc>
          <w:tcPr>
            <w:tcW w:w="1080" w:type="dxa"/>
            <w:tcBorders>
              <w:top w:val="nil"/>
              <w:left w:val="nil"/>
              <w:bottom w:val="single" w:sz="4" w:space="0" w:color="auto"/>
              <w:right w:val="single" w:sz="4" w:space="0" w:color="auto"/>
            </w:tcBorders>
            <w:vAlign w:val="center"/>
          </w:tcPr>
          <w:p w14:paraId="5BC7A1F2" w14:textId="77777777" w:rsidR="00CE6F7F" w:rsidRPr="00A94315" w:rsidRDefault="00CE6F7F" w:rsidP="004872F2">
            <w:pPr>
              <w:jc w:val="right"/>
              <w:rPr>
                <w:rFonts w:ascii="Times" w:hAnsi="Times" w:cs="Times"/>
                <w:color w:val="000000"/>
              </w:rPr>
            </w:pPr>
            <w:r w:rsidRPr="00A94315">
              <w:rPr>
                <w:rFonts w:ascii="Times" w:hAnsi="Times" w:cs="Times"/>
                <w:color w:val="000000"/>
              </w:rPr>
              <w:t>-30</w:t>
            </w:r>
          </w:p>
        </w:tc>
        <w:tc>
          <w:tcPr>
            <w:tcW w:w="1080" w:type="dxa"/>
            <w:tcBorders>
              <w:top w:val="nil"/>
              <w:left w:val="nil"/>
              <w:bottom w:val="single" w:sz="4" w:space="0" w:color="auto"/>
              <w:right w:val="single" w:sz="8" w:space="0" w:color="auto"/>
            </w:tcBorders>
            <w:vAlign w:val="center"/>
          </w:tcPr>
          <w:p w14:paraId="149CB50F" w14:textId="77777777" w:rsidR="00CE6F7F" w:rsidRPr="00A94315" w:rsidRDefault="00CE6F7F" w:rsidP="004872F2">
            <w:pPr>
              <w:jc w:val="right"/>
              <w:rPr>
                <w:rFonts w:ascii="Times" w:hAnsi="Times" w:cs="Times"/>
                <w:color w:val="000000"/>
              </w:rPr>
            </w:pPr>
            <w:r w:rsidRPr="00A94315">
              <w:rPr>
                <w:rFonts w:ascii="Times" w:hAnsi="Times" w:cs="Times"/>
                <w:color w:val="000000"/>
              </w:rPr>
              <w:t>-43</w:t>
            </w:r>
          </w:p>
        </w:tc>
      </w:tr>
      <w:tr w:rsidR="00CE6F7F" w:rsidRPr="00A94315" w14:paraId="21EF5DE2" w14:textId="77777777" w:rsidTr="004872F2">
        <w:trPr>
          <w:trHeight w:val="360"/>
        </w:trPr>
        <w:tc>
          <w:tcPr>
            <w:tcW w:w="5060" w:type="dxa"/>
            <w:tcBorders>
              <w:top w:val="nil"/>
              <w:left w:val="single" w:sz="8" w:space="0" w:color="auto"/>
              <w:bottom w:val="single" w:sz="4" w:space="0" w:color="auto"/>
              <w:right w:val="single" w:sz="4" w:space="0" w:color="auto"/>
            </w:tcBorders>
            <w:vAlign w:val="center"/>
          </w:tcPr>
          <w:p w14:paraId="124C873F" w14:textId="77777777" w:rsidR="00CE6F7F" w:rsidRPr="00A94315" w:rsidRDefault="00CE6F7F" w:rsidP="004872F2">
            <w:pPr>
              <w:rPr>
                <w:color w:val="000000"/>
              </w:rPr>
            </w:pPr>
            <w:r w:rsidRPr="00A94315">
              <w:rPr>
                <w:color w:val="000000"/>
              </w:rPr>
              <w:t>Remaining fossil CO</w:t>
            </w:r>
            <w:r w:rsidRPr="00A94315">
              <w:rPr>
                <w:color w:val="000000"/>
                <w:vertAlign w:val="subscript"/>
              </w:rPr>
              <w:t>2</w:t>
            </w:r>
            <w:r w:rsidRPr="00A94315">
              <w:rPr>
                <w:color w:val="000000"/>
              </w:rPr>
              <w:t xml:space="preserve"> emissions</w:t>
            </w:r>
          </w:p>
        </w:tc>
        <w:tc>
          <w:tcPr>
            <w:tcW w:w="1260" w:type="dxa"/>
            <w:vMerge/>
            <w:tcBorders>
              <w:top w:val="nil"/>
              <w:left w:val="single" w:sz="4" w:space="0" w:color="auto"/>
              <w:bottom w:val="single" w:sz="8" w:space="0" w:color="000000"/>
              <w:right w:val="single" w:sz="4" w:space="0" w:color="auto"/>
            </w:tcBorders>
            <w:vAlign w:val="center"/>
          </w:tcPr>
          <w:p w14:paraId="1CED49D1" w14:textId="77777777" w:rsidR="00CE6F7F" w:rsidRPr="00A94315" w:rsidRDefault="00CE6F7F" w:rsidP="004872F2">
            <w:pPr>
              <w:rPr>
                <w:color w:val="000000"/>
              </w:rPr>
            </w:pPr>
          </w:p>
        </w:tc>
        <w:tc>
          <w:tcPr>
            <w:tcW w:w="1080" w:type="dxa"/>
            <w:tcBorders>
              <w:top w:val="nil"/>
              <w:left w:val="nil"/>
              <w:bottom w:val="single" w:sz="4" w:space="0" w:color="auto"/>
              <w:right w:val="single" w:sz="4" w:space="0" w:color="auto"/>
            </w:tcBorders>
            <w:vAlign w:val="center"/>
          </w:tcPr>
          <w:p w14:paraId="563586CE" w14:textId="77777777" w:rsidR="00CE6F7F" w:rsidRPr="00A94315" w:rsidRDefault="00CE6F7F" w:rsidP="004872F2">
            <w:pPr>
              <w:jc w:val="right"/>
              <w:rPr>
                <w:color w:val="000000"/>
              </w:rPr>
            </w:pPr>
            <w:r w:rsidRPr="00A94315">
              <w:rPr>
                <w:color w:val="000000"/>
              </w:rPr>
              <w:t>23</w:t>
            </w:r>
          </w:p>
        </w:tc>
        <w:tc>
          <w:tcPr>
            <w:tcW w:w="1080" w:type="dxa"/>
            <w:tcBorders>
              <w:top w:val="nil"/>
              <w:left w:val="nil"/>
              <w:bottom w:val="single" w:sz="4" w:space="0" w:color="auto"/>
              <w:right w:val="single" w:sz="4" w:space="0" w:color="auto"/>
            </w:tcBorders>
            <w:vAlign w:val="center"/>
          </w:tcPr>
          <w:p w14:paraId="5E81694C" w14:textId="77777777" w:rsidR="00CE6F7F" w:rsidRPr="00A94315" w:rsidRDefault="00CE6F7F" w:rsidP="004872F2">
            <w:pPr>
              <w:jc w:val="right"/>
              <w:rPr>
                <w:color w:val="000000"/>
              </w:rPr>
            </w:pPr>
            <w:r w:rsidRPr="00A94315">
              <w:rPr>
                <w:color w:val="000000"/>
              </w:rPr>
              <w:t>13</w:t>
            </w:r>
          </w:p>
        </w:tc>
        <w:tc>
          <w:tcPr>
            <w:tcW w:w="1080" w:type="dxa"/>
            <w:tcBorders>
              <w:top w:val="nil"/>
              <w:left w:val="nil"/>
              <w:bottom w:val="single" w:sz="4" w:space="0" w:color="auto"/>
              <w:right w:val="single" w:sz="8" w:space="0" w:color="auto"/>
            </w:tcBorders>
            <w:vAlign w:val="center"/>
          </w:tcPr>
          <w:p w14:paraId="25B167FF" w14:textId="77777777" w:rsidR="00CE6F7F" w:rsidRPr="00A94315" w:rsidRDefault="00CE6F7F" w:rsidP="004872F2">
            <w:pPr>
              <w:jc w:val="right"/>
              <w:rPr>
                <w:color w:val="000000"/>
              </w:rPr>
            </w:pPr>
            <w:r w:rsidRPr="00A94315">
              <w:rPr>
                <w:color w:val="000000"/>
              </w:rPr>
              <w:t>0</w:t>
            </w:r>
          </w:p>
        </w:tc>
      </w:tr>
      <w:tr w:rsidR="00CE6F7F" w:rsidRPr="00A94315" w14:paraId="0C851A4D" w14:textId="77777777" w:rsidTr="004872F2">
        <w:trPr>
          <w:trHeight w:val="312"/>
        </w:trPr>
        <w:tc>
          <w:tcPr>
            <w:tcW w:w="5060" w:type="dxa"/>
            <w:tcBorders>
              <w:top w:val="nil"/>
              <w:left w:val="single" w:sz="8" w:space="0" w:color="auto"/>
              <w:bottom w:val="single" w:sz="4" w:space="0" w:color="auto"/>
              <w:right w:val="single" w:sz="4" w:space="0" w:color="auto"/>
            </w:tcBorders>
            <w:vAlign w:val="center"/>
          </w:tcPr>
          <w:p w14:paraId="76F15C13" w14:textId="77777777" w:rsidR="00CE6F7F" w:rsidRPr="00A94315" w:rsidRDefault="00CE6F7F" w:rsidP="004872F2">
            <w:pPr>
              <w:rPr>
                <w:color w:val="000000"/>
              </w:rPr>
            </w:pPr>
            <w:r w:rsidRPr="00A94315">
              <w:rPr>
                <w:color w:val="000000"/>
              </w:rPr>
              <w:t>Less fossil fuel emissions neutralized by CCS</w:t>
            </w:r>
          </w:p>
        </w:tc>
        <w:tc>
          <w:tcPr>
            <w:tcW w:w="1260" w:type="dxa"/>
            <w:vMerge/>
            <w:tcBorders>
              <w:top w:val="nil"/>
              <w:left w:val="single" w:sz="4" w:space="0" w:color="auto"/>
              <w:bottom w:val="single" w:sz="8" w:space="0" w:color="000000"/>
              <w:right w:val="single" w:sz="4" w:space="0" w:color="auto"/>
            </w:tcBorders>
            <w:vAlign w:val="center"/>
          </w:tcPr>
          <w:p w14:paraId="24662EDA" w14:textId="77777777" w:rsidR="00CE6F7F" w:rsidRPr="00A94315" w:rsidRDefault="00CE6F7F" w:rsidP="004872F2">
            <w:pPr>
              <w:rPr>
                <w:color w:val="000000"/>
              </w:rPr>
            </w:pPr>
          </w:p>
        </w:tc>
        <w:tc>
          <w:tcPr>
            <w:tcW w:w="1080" w:type="dxa"/>
            <w:tcBorders>
              <w:top w:val="nil"/>
              <w:left w:val="nil"/>
              <w:bottom w:val="single" w:sz="4" w:space="0" w:color="auto"/>
              <w:right w:val="single" w:sz="4" w:space="0" w:color="auto"/>
            </w:tcBorders>
            <w:vAlign w:val="center"/>
          </w:tcPr>
          <w:p w14:paraId="7F203509" w14:textId="77777777" w:rsidR="00CE6F7F" w:rsidRPr="00A94315" w:rsidRDefault="00CE6F7F" w:rsidP="004872F2">
            <w:pPr>
              <w:jc w:val="right"/>
              <w:rPr>
                <w:color w:val="000000"/>
              </w:rPr>
            </w:pPr>
            <w:r w:rsidRPr="00A94315">
              <w:rPr>
                <w:color w:val="000000"/>
              </w:rPr>
              <w:t>-8</w:t>
            </w:r>
          </w:p>
        </w:tc>
        <w:tc>
          <w:tcPr>
            <w:tcW w:w="1080" w:type="dxa"/>
            <w:tcBorders>
              <w:top w:val="nil"/>
              <w:left w:val="nil"/>
              <w:bottom w:val="single" w:sz="4" w:space="0" w:color="auto"/>
              <w:right w:val="single" w:sz="4" w:space="0" w:color="auto"/>
            </w:tcBorders>
            <w:vAlign w:val="center"/>
          </w:tcPr>
          <w:p w14:paraId="119FA44A" w14:textId="77777777" w:rsidR="00CE6F7F" w:rsidRPr="00A94315" w:rsidRDefault="00CE6F7F" w:rsidP="004872F2">
            <w:pPr>
              <w:jc w:val="right"/>
              <w:rPr>
                <w:color w:val="000000"/>
              </w:rPr>
            </w:pPr>
            <w:r w:rsidRPr="00A94315">
              <w:rPr>
                <w:color w:val="000000"/>
              </w:rPr>
              <w:t>-9</w:t>
            </w:r>
          </w:p>
        </w:tc>
        <w:tc>
          <w:tcPr>
            <w:tcW w:w="1080" w:type="dxa"/>
            <w:tcBorders>
              <w:top w:val="nil"/>
              <w:left w:val="nil"/>
              <w:bottom w:val="single" w:sz="4" w:space="0" w:color="auto"/>
              <w:right w:val="single" w:sz="8" w:space="0" w:color="auto"/>
            </w:tcBorders>
            <w:vAlign w:val="center"/>
          </w:tcPr>
          <w:p w14:paraId="346E74D7" w14:textId="77777777" w:rsidR="00CE6F7F" w:rsidRPr="00A94315" w:rsidRDefault="00CE6F7F" w:rsidP="004872F2">
            <w:pPr>
              <w:jc w:val="right"/>
              <w:rPr>
                <w:color w:val="000000"/>
              </w:rPr>
            </w:pPr>
            <w:r w:rsidRPr="00A94315">
              <w:rPr>
                <w:color w:val="000000"/>
              </w:rPr>
              <w:t>0</w:t>
            </w:r>
          </w:p>
        </w:tc>
      </w:tr>
      <w:tr w:rsidR="00CE6F7F" w:rsidRPr="00A94315" w14:paraId="167AF3E3" w14:textId="77777777" w:rsidTr="004872F2">
        <w:trPr>
          <w:trHeight w:val="360"/>
        </w:trPr>
        <w:tc>
          <w:tcPr>
            <w:tcW w:w="5060" w:type="dxa"/>
            <w:tcBorders>
              <w:top w:val="nil"/>
              <w:left w:val="single" w:sz="8" w:space="0" w:color="auto"/>
              <w:bottom w:val="single" w:sz="4" w:space="0" w:color="auto"/>
              <w:right w:val="single" w:sz="4" w:space="0" w:color="auto"/>
            </w:tcBorders>
            <w:vAlign w:val="center"/>
          </w:tcPr>
          <w:p w14:paraId="694EA64E" w14:textId="77777777" w:rsidR="00CE6F7F" w:rsidRPr="00A94315" w:rsidRDefault="00CE6F7F" w:rsidP="004872F2">
            <w:pPr>
              <w:rPr>
                <w:color w:val="000000"/>
              </w:rPr>
            </w:pPr>
            <w:r w:rsidRPr="00A94315">
              <w:rPr>
                <w:color w:val="000000"/>
              </w:rPr>
              <w:t>Less permanently stored bio-CO</w:t>
            </w:r>
            <w:r w:rsidRPr="00A94315">
              <w:rPr>
                <w:color w:val="000000"/>
                <w:vertAlign w:val="subscript"/>
              </w:rPr>
              <w:t>2</w:t>
            </w:r>
          </w:p>
        </w:tc>
        <w:tc>
          <w:tcPr>
            <w:tcW w:w="1260" w:type="dxa"/>
            <w:vMerge/>
            <w:tcBorders>
              <w:top w:val="nil"/>
              <w:left w:val="single" w:sz="4" w:space="0" w:color="auto"/>
              <w:bottom w:val="single" w:sz="8" w:space="0" w:color="000000"/>
              <w:right w:val="single" w:sz="4" w:space="0" w:color="auto"/>
            </w:tcBorders>
            <w:vAlign w:val="center"/>
          </w:tcPr>
          <w:p w14:paraId="094EF03B" w14:textId="77777777" w:rsidR="00CE6F7F" w:rsidRPr="00A94315" w:rsidRDefault="00CE6F7F" w:rsidP="004872F2">
            <w:pPr>
              <w:rPr>
                <w:color w:val="000000"/>
              </w:rPr>
            </w:pPr>
          </w:p>
        </w:tc>
        <w:tc>
          <w:tcPr>
            <w:tcW w:w="1080" w:type="dxa"/>
            <w:tcBorders>
              <w:top w:val="nil"/>
              <w:left w:val="nil"/>
              <w:bottom w:val="single" w:sz="4" w:space="0" w:color="auto"/>
              <w:right w:val="single" w:sz="4" w:space="0" w:color="auto"/>
            </w:tcBorders>
            <w:vAlign w:val="center"/>
          </w:tcPr>
          <w:p w14:paraId="3462BE82" w14:textId="77777777" w:rsidR="00CE6F7F" w:rsidRPr="00A94315" w:rsidRDefault="00CE6F7F" w:rsidP="004872F2">
            <w:pPr>
              <w:jc w:val="right"/>
              <w:rPr>
                <w:color w:val="000000"/>
              </w:rPr>
            </w:pPr>
            <w:r w:rsidRPr="00A94315">
              <w:rPr>
                <w:color w:val="000000"/>
              </w:rPr>
              <w:t>-8</w:t>
            </w:r>
          </w:p>
        </w:tc>
        <w:tc>
          <w:tcPr>
            <w:tcW w:w="1080" w:type="dxa"/>
            <w:tcBorders>
              <w:top w:val="nil"/>
              <w:left w:val="nil"/>
              <w:bottom w:val="single" w:sz="4" w:space="0" w:color="auto"/>
              <w:right w:val="single" w:sz="4" w:space="0" w:color="auto"/>
            </w:tcBorders>
            <w:vAlign w:val="center"/>
          </w:tcPr>
          <w:p w14:paraId="4B33481C" w14:textId="77777777" w:rsidR="00CE6F7F" w:rsidRPr="00A94315" w:rsidRDefault="00CE6F7F" w:rsidP="004872F2">
            <w:pPr>
              <w:jc w:val="right"/>
              <w:rPr>
                <w:color w:val="000000"/>
              </w:rPr>
            </w:pPr>
            <w:r w:rsidRPr="00A94315">
              <w:rPr>
                <w:color w:val="000000"/>
              </w:rPr>
              <w:t>-12</w:t>
            </w:r>
          </w:p>
        </w:tc>
        <w:tc>
          <w:tcPr>
            <w:tcW w:w="1080" w:type="dxa"/>
            <w:tcBorders>
              <w:top w:val="nil"/>
              <w:left w:val="nil"/>
              <w:bottom w:val="single" w:sz="4" w:space="0" w:color="auto"/>
              <w:right w:val="single" w:sz="8" w:space="0" w:color="auto"/>
            </w:tcBorders>
            <w:vAlign w:val="center"/>
          </w:tcPr>
          <w:p w14:paraId="09622D92" w14:textId="77777777" w:rsidR="00CE6F7F" w:rsidRPr="00A94315" w:rsidRDefault="00CE6F7F" w:rsidP="004872F2">
            <w:pPr>
              <w:jc w:val="right"/>
              <w:rPr>
                <w:color w:val="000000"/>
              </w:rPr>
            </w:pPr>
            <w:r w:rsidRPr="00A94315">
              <w:rPr>
                <w:color w:val="000000"/>
              </w:rPr>
              <w:t>-19</w:t>
            </w:r>
          </w:p>
        </w:tc>
      </w:tr>
      <w:tr w:rsidR="00CE6F7F" w:rsidRPr="00A94315" w14:paraId="32474757" w14:textId="77777777" w:rsidTr="004872F2">
        <w:trPr>
          <w:trHeight w:val="672"/>
        </w:trPr>
        <w:tc>
          <w:tcPr>
            <w:tcW w:w="5060" w:type="dxa"/>
            <w:tcBorders>
              <w:top w:val="nil"/>
              <w:left w:val="single" w:sz="8" w:space="0" w:color="auto"/>
              <w:bottom w:val="single" w:sz="4" w:space="0" w:color="auto"/>
              <w:right w:val="single" w:sz="4" w:space="0" w:color="auto"/>
            </w:tcBorders>
            <w:vAlign w:val="center"/>
          </w:tcPr>
          <w:p w14:paraId="05EB07A3" w14:textId="77777777" w:rsidR="00CE6F7F" w:rsidRPr="00A94315" w:rsidRDefault="00CE6F7F" w:rsidP="004872F2">
            <w:pPr>
              <w:rPr>
                <w:color w:val="000000"/>
              </w:rPr>
            </w:pPr>
            <w:r w:rsidRPr="00A94315">
              <w:rPr>
                <w:color w:val="000000"/>
              </w:rPr>
              <w:t>Less permanent storage of half the combustion-CO</w:t>
            </w:r>
            <w:r w:rsidRPr="00A94315">
              <w:rPr>
                <w:color w:val="000000"/>
                <w:vertAlign w:val="subscript"/>
              </w:rPr>
              <w:t>2</w:t>
            </w:r>
            <w:r w:rsidRPr="00A94315">
              <w:rPr>
                <w:color w:val="000000"/>
              </w:rPr>
              <w:t xml:space="preserve"> from the bio-</w:t>
            </w:r>
            <w:r w:rsidRPr="00A94315">
              <w:rPr>
                <w:rFonts w:ascii="Times" w:hAnsi="Times" w:cs="Times"/>
                <w:color w:val="000000"/>
              </w:rPr>
              <w:t xml:space="preserve"> CH</w:t>
            </w:r>
            <w:r w:rsidRPr="00A94315">
              <w:rPr>
                <w:rFonts w:ascii="Times" w:hAnsi="Times" w:cs="Times"/>
                <w:color w:val="000000"/>
                <w:vertAlign w:val="subscript"/>
              </w:rPr>
              <w:t>4,</w:t>
            </w:r>
            <w:r w:rsidRPr="00A94315">
              <w:rPr>
                <w:color w:val="000000"/>
              </w:rPr>
              <w:t xml:space="preserve"> BECCS process</w:t>
            </w:r>
          </w:p>
        </w:tc>
        <w:tc>
          <w:tcPr>
            <w:tcW w:w="1260" w:type="dxa"/>
            <w:vMerge/>
            <w:tcBorders>
              <w:top w:val="nil"/>
              <w:left w:val="single" w:sz="4" w:space="0" w:color="auto"/>
              <w:bottom w:val="single" w:sz="8" w:space="0" w:color="000000"/>
              <w:right w:val="single" w:sz="4" w:space="0" w:color="auto"/>
            </w:tcBorders>
            <w:vAlign w:val="center"/>
          </w:tcPr>
          <w:p w14:paraId="2490A639" w14:textId="77777777" w:rsidR="00CE6F7F" w:rsidRPr="00A94315" w:rsidRDefault="00CE6F7F" w:rsidP="004872F2">
            <w:pPr>
              <w:rPr>
                <w:color w:val="000000"/>
              </w:rPr>
            </w:pPr>
          </w:p>
        </w:tc>
        <w:tc>
          <w:tcPr>
            <w:tcW w:w="1080" w:type="dxa"/>
            <w:tcBorders>
              <w:top w:val="nil"/>
              <w:left w:val="nil"/>
              <w:bottom w:val="single" w:sz="4" w:space="0" w:color="auto"/>
              <w:right w:val="single" w:sz="4" w:space="0" w:color="auto"/>
            </w:tcBorders>
            <w:vAlign w:val="center"/>
          </w:tcPr>
          <w:p w14:paraId="5C45A069" w14:textId="77777777" w:rsidR="00CE6F7F" w:rsidRPr="00A94315" w:rsidRDefault="00CE6F7F" w:rsidP="004872F2">
            <w:pPr>
              <w:jc w:val="right"/>
              <w:rPr>
                <w:color w:val="000000"/>
              </w:rPr>
            </w:pPr>
            <w:r w:rsidRPr="00A94315">
              <w:rPr>
                <w:color w:val="000000"/>
              </w:rPr>
              <w:t>-8</w:t>
            </w:r>
          </w:p>
        </w:tc>
        <w:tc>
          <w:tcPr>
            <w:tcW w:w="1080" w:type="dxa"/>
            <w:tcBorders>
              <w:top w:val="nil"/>
              <w:left w:val="nil"/>
              <w:bottom w:val="single" w:sz="4" w:space="0" w:color="auto"/>
              <w:right w:val="single" w:sz="4" w:space="0" w:color="auto"/>
            </w:tcBorders>
            <w:vAlign w:val="center"/>
          </w:tcPr>
          <w:p w14:paraId="7627D5D3" w14:textId="77777777" w:rsidR="00CE6F7F" w:rsidRPr="00A94315" w:rsidRDefault="00CE6F7F" w:rsidP="004872F2">
            <w:pPr>
              <w:jc w:val="right"/>
              <w:rPr>
                <w:color w:val="000000"/>
              </w:rPr>
            </w:pPr>
            <w:r w:rsidRPr="00A94315">
              <w:rPr>
                <w:color w:val="000000"/>
              </w:rPr>
              <w:t>-11</w:t>
            </w:r>
          </w:p>
        </w:tc>
        <w:tc>
          <w:tcPr>
            <w:tcW w:w="1080" w:type="dxa"/>
            <w:tcBorders>
              <w:top w:val="nil"/>
              <w:left w:val="nil"/>
              <w:bottom w:val="single" w:sz="4" w:space="0" w:color="auto"/>
              <w:right w:val="single" w:sz="8" w:space="0" w:color="auto"/>
            </w:tcBorders>
            <w:vAlign w:val="center"/>
          </w:tcPr>
          <w:p w14:paraId="7142FF41" w14:textId="77777777" w:rsidR="00CE6F7F" w:rsidRPr="00A94315" w:rsidRDefault="00CE6F7F" w:rsidP="004872F2">
            <w:pPr>
              <w:jc w:val="right"/>
              <w:rPr>
                <w:color w:val="000000"/>
              </w:rPr>
            </w:pPr>
            <w:r w:rsidRPr="00A94315">
              <w:rPr>
                <w:color w:val="000000"/>
              </w:rPr>
              <w:t>-17</w:t>
            </w:r>
          </w:p>
        </w:tc>
      </w:tr>
      <w:tr w:rsidR="00CE6F7F" w:rsidRPr="00A94315" w14:paraId="4379FB74" w14:textId="77777777" w:rsidTr="004872F2">
        <w:trPr>
          <w:trHeight w:val="372"/>
        </w:trPr>
        <w:tc>
          <w:tcPr>
            <w:tcW w:w="5060" w:type="dxa"/>
            <w:tcBorders>
              <w:top w:val="nil"/>
              <w:left w:val="single" w:sz="8" w:space="0" w:color="auto"/>
              <w:bottom w:val="single" w:sz="8" w:space="0" w:color="auto"/>
              <w:right w:val="single" w:sz="4" w:space="0" w:color="auto"/>
            </w:tcBorders>
            <w:vAlign w:val="center"/>
          </w:tcPr>
          <w:p w14:paraId="7388AFA4" w14:textId="77777777" w:rsidR="00CE6F7F" w:rsidRPr="00A94315" w:rsidRDefault="00CE6F7F" w:rsidP="004872F2">
            <w:pPr>
              <w:rPr>
                <w:color w:val="000000"/>
              </w:rPr>
            </w:pPr>
            <w:r w:rsidRPr="00A94315">
              <w:rPr>
                <w:color w:val="000000"/>
              </w:rPr>
              <w:t>Net CO</w:t>
            </w:r>
            <w:r w:rsidRPr="00A94315">
              <w:rPr>
                <w:color w:val="000000"/>
                <w:vertAlign w:val="subscript"/>
              </w:rPr>
              <w:t>2</w:t>
            </w:r>
            <w:r w:rsidRPr="00A94315">
              <w:rPr>
                <w:color w:val="000000"/>
              </w:rPr>
              <w:t xml:space="preserve"> removal</w:t>
            </w:r>
          </w:p>
        </w:tc>
        <w:tc>
          <w:tcPr>
            <w:tcW w:w="1260" w:type="dxa"/>
            <w:vMerge/>
            <w:tcBorders>
              <w:top w:val="nil"/>
              <w:left w:val="single" w:sz="4" w:space="0" w:color="auto"/>
              <w:bottom w:val="single" w:sz="8" w:space="0" w:color="000000"/>
              <w:right w:val="single" w:sz="4" w:space="0" w:color="auto"/>
            </w:tcBorders>
            <w:vAlign w:val="center"/>
          </w:tcPr>
          <w:p w14:paraId="5DC71B04" w14:textId="77777777" w:rsidR="00CE6F7F" w:rsidRPr="00A94315" w:rsidRDefault="00CE6F7F" w:rsidP="004872F2">
            <w:pPr>
              <w:rPr>
                <w:color w:val="000000"/>
              </w:rPr>
            </w:pPr>
          </w:p>
        </w:tc>
        <w:tc>
          <w:tcPr>
            <w:tcW w:w="1080" w:type="dxa"/>
            <w:tcBorders>
              <w:top w:val="nil"/>
              <w:left w:val="nil"/>
              <w:bottom w:val="single" w:sz="8" w:space="0" w:color="auto"/>
              <w:right w:val="single" w:sz="4" w:space="0" w:color="auto"/>
            </w:tcBorders>
            <w:vAlign w:val="center"/>
          </w:tcPr>
          <w:p w14:paraId="3A644CC8" w14:textId="77777777" w:rsidR="00CE6F7F" w:rsidRPr="00A94315" w:rsidRDefault="00CE6F7F" w:rsidP="004872F2">
            <w:pPr>
              <w:jc w:val="right"/>
              <w:rPr>
                <w:color w:val="000000"/>
              </w:rPr>
            </w:pPr>
            <w:r w:rsidRPr="00A94315">
              <w:rPr>
                <w:color w:val="000000"/>
              </w:rPr>
              <w:t>0</w:t>
            </w:r>
          </w:p>
        </w:tc>
        <w:tc>
          <w:tcPr>
            <w:tcW w:w="1080" w:type="dxa"/>
            <w:tcBorders>
              <w:top w:val="nil"/>
              <w:left w:val="nil"/>
              <w:bottom w:val="single" w:sz="8" w:space="0" w:color="auto"/>
              <w:right w:val="single" w:sz="4" w:space="0" w:color="auto"/>
            </w:tcBorders>
            <w:vAlign w:val="center"/>
          </w:tcPr>
          <w:p w14:paraId="34E276D0" w14:textId="77777777" w:rsidR="00CE6F7F" w:rsidRPr="00A94315" w:rsidRDefault="00CE6F7F" w:rsidP="004872F2">
            <w:pPr>
              <w:jc w:val="right"/>
              <w:rPr>
                <w:color w:val="000000"/>
              </w:rPr>
            </w:pPr>
            <w:r w:rsidRPr="00A94315">
              <w:rPr>
                <w:color w:val="000000"/>
              </w:rPr>
              <w:t>-20</w:t>
            </w:r>
          </w:p>
        </w:tc>
        <w:tc>
          <w:tcPr>
            <w:tcW w:w="1080" w:type="dxa"/>
            <w:tcBorders>
              <w:top w:val="nil"/>
              <w:left w:val="nil"/>
              <w:bottom w:val="single" w:sz="8" w:space="0" w:color="auto"/>
              <w:right w:val="single" w:sz="8" w:space="0" w:color="auto"/>
            </w:tcBorders>
            <w:vAlign w:val="center"/>
          </w:tcPr>
          <w:p w14:paraId="6EF4E173" w14:textId="77777777" w:rsidR="00CE6F7F" w:rsidRPr="00A94315" w:rsidRDefault="00CE6F7F" w:rsidP="004872F2">
            <w:pPr>
              <w:jc w:val="right"/>
              <w:rPr>
                <w:color w:val="000000"/>
              </w:rPr>
            </w:pPr>
            <w:r w:rsidRPr="00A94315">
              <w:rPr>
                <w:color w:val="000000"/>
              </w:rPr>
              <w:t>-36</w:t>
            </w:r>
          </w:p>
        </w:tc>
      </w:tr>
      <w:tr w:rsidR="00CE6F7F" w:rsidRPr="00A94315" w14:paraId="191C0DDB" w14:textId="77777777" w:rsidTr="004872F2">
        <w:trPr>
          <w:trHeight w:val="624"/>
        </w:trPr>
        <w:tc>
          <w:tcPr>
            <w:tcW w:w="5060" w:type="dxa"/>
            <w:tcBorders>
              <w:top w:val="nil"/>
              <w:left w:val="single" w:sz="8" w:space="0" w:color="auto"/>
              <w:bottom w:val="single" w:sz="4" w:space="0" w:color="auto"/>
              <w:right w:val="single" w:sz="4" w:space="0" w:color="auto"/>
            </w:tcBorders>
            <w:vAlign w:val="center"/>
          </w:tcPr>
          <w:p w14:paraId="39B06297" w14:textId="77777777" w:rsidR="00CE6F7F" w:rsidRPr="00A94315" w:rsidRDefault="00CE6F7F" w:rsidP="004872F2">
            <w:pPr>
              <w:rPr>
                <w:color w:val="000000"/>
              </w:rPr>
            </w:pPr>
            <w:r w:rsidRPr="00A94315">
              <w:rPr>
                <w:color w:val="000000"/>
              </w:rPr>
              <w:t>Algal forest area during scenario year</w:t>
            </w:r>
          </w:p>
        </w:tc>
        <w:tc>
          <w:tcPr>
            <w:tcW w:w="1260" w:type="dxa"/>
            <w:tcBorders>
              <w:top w:val="nil"/>
              <w:left w:val="nil"/>
              <w:bottom w:val="single" w:sz="4" w:space="0" w:color="auto"/>
              <w:right w:val="single" w:sz="4" w:space="0" w:color="auto"/>
            </w:tcBorders>
            <w:vAlign w:val="center"/>
          </w:tcPr>
          <w:p w14:paraId="3EC2FF57" w14:textId="77777777" w:rsidR="00CE6F7F" w:rsidRPr="00A94315" w:rsidRDefault="00CE6F7F" w:rsidP="004872F2">
            <w:pPr>
              <w:jc w:val="center"/>
              <w:rPr>
                <w:color w:val="000000"/>
              </w:rPr>
            </w:pPr>
            <w:r w:rsidRPr="00A94315">
              <w:rPr>
                <w:color w:val="000000"/>
              </w:rPr>
              <w:t xml:space="preserve">% </w:t>
            </w:r>
            <w:proofErr w:type="gramStart"/>
            <w:r w:rsidRPr="00A94315">
              <w:rPr>
                <w:color w:val="000000"/>
              </w:rPr>
              <w:t>of</w:t>
            </w:r>
            <w:proofErr w:type="gramEnd"/>
            <w:r w:rsidRPr="00A94315">
              <w:rPr>
                <w:color w:val="000000"/>
              </w:rPr>
              <w:t xml:space="preserve"> ocean surface</w:t>
            </w:r>
          </w:p>
        </w:tc>
        <w:tc>
          <w:tcPr>
            <w:tcW w:w="1080" w:type="dxa"/>
            <w:tcBorders>
              <w:top w:val="nil"/>
              <w:left w:val="nil"/>
              <w:bottom w:val="single" w:sz="4" w:space="0" w:color="auto"/>
              <w:right w:val="single" w:sz="4" w:space="0" w:color="auto"/>
            </w:tcBorders>
            <w:vAlign w:val="center"/>
          </w:tcPr>
          <w:p w14:paraId="59CA8731" w14:textId="77777777" w:rsidR="00CE6F7F" w:rsidRPr="00A94315" w:rsidRDefault="00CE6F7F" w:rsidP="004872F2">
            <w:pPr>
              <w:jc w:val="right"/>
              <w:rPr>
                <w:color w:val="000000"/>
              </w:rPr>
            </w:pPr>
            <w:r w:rsidRPr="00A94315">
              <w:rPr>
                <w:color w:val="000000"/>
              </w:rPr>
              <w:t>4%</w:t>
            </w:r>
          </w:p>
        </w:tc>
        <w:tc>
          <w:tcPr>
            <w:tcW w:w="1080" w:type="dxa"/>
            <w:tcBorders>
              <w:top w:val="nil"/>
              <w:left w:val="nil"/>
              <w:bottom w:val="single" w:sz="4" w:space="0" w:color="auto"/>
              <w:right w:val="single" w:sz="4" w:space="0" w:color="auto"/>
            </w:tcBorders>
            <w:vAlign w:val="center"/>
          </w:tcPr>
          <w:p w14:paraId="49B153CB" w14:textId="77777777" w:rsidR="00CE6F7F" w:rsidRPr="00A94315" w:rsidRDefault="00CE6F7F" w:rsidP="004872F2">
            <w:pPr>
              <w:jc w:val="right"/>
              <w:rPr>
                <w:color w:val="000000"/>
              </w:rPr>
            </w:pPr>
            <w:r w:rsidRPr="00A94315">
              <w:rPr>
                <w:color w:val="000000"/>
              </w:rPr>
              <w:t>6%</w:t>
            </w:r>
          </w:p>
        </w:tc>
        <w:tc>
          <w:tcPr>
            <w:tcW w:w="1080" w:type="dxa"/>
            <w:tcBorders>
              <w:top w:val="nil"/>
              <w:left w:val="nil"/>
              <w:bottom w:val="single" w:sz="4" w:space="0" w:color="auto"/>
              <w:right w:val="single" w:sz="8" w:space="0" w:color="auto"/>
            </w:tcBorders>
            <w:vAlign w:val="center"/>
          </w:tcPr>
          <w:p w14:paraId="32E8694A" w14:textId="77777777" w:rsidR="00CE6F7F" w:rsidRPr="00A94315" w:rsidRDefault="00CE6F7F" w:rsidP="004872F2">
            <w:pPr>
              <w:jc w:val="right"/>
              <w:rPr>
                <w:color w:val="000000"/>
              </w:rPr>
            </w:pPr>
            <w:r w:rsidRPr="00A94315">
              <w:rPr>
                <w:color w:val="000000"/>
              </w:rPr>
              <w:t>9%</w:t>
            </w:r>
          </w:p>
        </w:tc>
      </w:tr>
      <w:tr w:rsidR="00CE6F7F" w:rsidRPr="00A94315" w14:paraId="2AD766D6" w14:textId="77777777" w:rsidTr="004872F2">
        <w:trPr>
          <w:trHeight w:val="732"/>
        </w:trPr>
        <w:tc>
          <w:tcPr>
            <w:tcW w:w="5060" w:type="dxa"/>
            <w:tcBorders>
              <w:top w:val="nil"/>
              <w:left w:val="single" w:sz="8" w:space="0" w:color="auto"/>
              <w:bottom w:val="single" w:sz="8" w:space="0" w:color="auto"/>
              <w:right w:val="single" w:sz="4" w:space="0" w:color="auto"/>
            </w:tcBorders>
            <w:vAlign w:val="center"/>
          </w:tcPr>
          <w:p w14:paraId="644C5975" w14:textId="77777777" w:rsidR="00CE6F7F" w:rsidRPr="00A94315" w:rsidRDefault="00CE6F7F" w:rsidP="004872F2">
            <w:pPr>
              <w:rPr>
                <w:color w:val="000000"/>
              </w:rPr>
            </w:pPr>
            <w:r w:rsidRPr="00A94315">
              <w:rPr>
                <w:color w:val="000000"/>
              </w:rPr>
              <w:t>Time to reduce atmospheric CO</w:t>
            </w:r>
            <w:r w:rsidRPr="00A94315">
              <w:rPr>
                <w:color w:val="000000"/>
                <w:vertAlign w:val="subscript"/>
              </w:rPr>
              <w:t>2</w:t>
            </w:r>
            <w:r w:rsidRPr="00A94315">
              <w:rPr>
                <w:color w:val="000000"/>
              </w:rPr>
              <w:t xml:space="preserve"> by 100 ppm, with oceans off-gassing half the removed CO</w:t>
            </w:r>
            <w:r w:rsidRPr="00A94315">
              <w:rPr>
                <w:color w:val="000000"/>
                <w:vertAlign w:val="subscript"/>
              </w:rPr>
              <w:t>2</w:t>
            </w:r>
          </w:p>
        </w:tc>
        <w:tc>
          <w:tcPr>
            <w:tcW w:w="1260" w:type="dxa"/>
            <w:tcBorders>
              <w:top w:val="nil"/>
              <w:left w:val="nil"/>
              <w:bottom w:val="single" w:sz="8" w:space="0" w:color="auto"/>
              <w:right w:val="single" w:sz="4" w:space="0" w:color="auto"/>
            </w:tcBorders>
            <w:vAlign w:val="center"/>
          </w:tcPr>
          <w:p w14:paraId="6010C19B" w14:textId="77777777" w:rsidR="00CE6F7F" w:rsidRPr="00A94315" w:rsidRDefault="00CE6F7F" w:rsidP="004872F2">
            <w:pPr>
              <w:jc w:val="center"/>
              <w:rPr>
                <w:color w:val="000000"/>
              </w:rPr>
            </w:pPr>
            <w:r w:rsidRPr="00A94315">
              <w:rPr>
                <w:color w:val="000000"/>
              </w:rPr>
              <w:t>Years</w:t>
            </w:r>
          </w:p>
        </w:tc>
        <w:tc>
          <w:tcPr>
            <w:tcW w:w="1080" w:type="dxa"/>
            <w:tcBorders>
              <w:top w:val="nil"/>
              <w:left w:val="nil"/>
              <w:bottom w:val="single" w:sz="8" w:space="0" w:color="auto"/>
              <w:right w:val="single" w:sz="4" w:space="0" w:color="auto"/>
            </w:tcBorders>
            <w:vAlign w:val="center"/>
          </w:tcPr>
          <w:p w14:paraId="7DE04AEB" w14:textId="77777777" w:rsidR="00CE6F7F" w:rsidRPr="00A94315" w:rsidRDefault="00CE6F7F" w:rsidP="004872F2">
            <w:pPr>
              <w:jc w:val="center"/>
              <w:rPr>
                <w:color w:val="000000"/>
              </w:rPr>
            </w:pPr>
            <w:r w:rsidRPr="00A94315">
              <w:rPr>
                <w:color w:val="000000"/>
              </w:rPr>
              <w:t>-</w:t>
            </w:r>
          </w:p>
        </w:tc>
        <w:tc>
          <w:tcPr>
            <w:tcW w:w="1080" w:type="dxa"/>
            <w:tcBorders>
              <w:top w:val="nil"/>
              <w:left w:val="nil"/>
              <w:bottom w:val="single" w:sz="8" w:space="0" w:color="auto"/>
              <w:right w:val="single" w:sz="4" w:space="0" w:color="auto"/>
            </w:tcBorders>
            <w:vAlign w:val="center"/>
          </w:tcPr>
          <w:p w14:paraId="20A723FE" w14:textId="77777777" w:rsidR="00CE6F7F" w:rsidRPr="00A94315" w:rsidRDefault="00CE6F7F" w:rsidP="004872F2">
            <w:pPr>
              <w:jc w:val="right"/>
              <w:rPr>
                <w:color w:val="000000"/>
              </w:rPr>
            </w:pPr>
            <w:r w:rsidRPr="00A94315">
              <w:rPr>
                <w:color w:val="000000"/>
              </w:rPr>
              <w:t>50</w:t>
            </w:r>
          </w:p>
        </w:tc>
        <w:tc>
          <w:tcPr>
            <w:tcW w:w="1080" w:type="dxa"/>
            <w:tcBorders>
              <w:top w:val="nil"/>
              <w:left w:val="nil"/>
              <w:bottom w:val="single" w:sz="8" w:space="0" w:color="auto"/>
              <w:right w:val="single" w:sz="8" w:space="0" w:color="auto"/>
            </w:tcBorders>
            <w:vAlign w:val="center"/>
          </w:tcPr>
          <w:p w14:paraId="471C7C3F" w14:textId="77777777" w:rsidR="00CE6F7F" w:rsidRPr="00A94315" w:rsidRDefault="00CE6F7F" w:rsidP="004872F2">
            <w:pPr>
              <w:jc w:val="right"/>
              <w:rPr>
                <w:color w:val="000000"/>
              </w:rPr>
            </w:pPr>
            <w:r w:rsidRPr="00A94315">
              <w:rPr>
                <w:color w:val="000000"/>
              </w:rPr>
              <w:t>30</w:t>
            </w:r>
          </w:p>
        </w:tc>
      </w:tr>
    </w:tbl>
    <w:p w14:paraId="2490F370" w14:textId="77777777" w:rsidR="00CE6F7F" w:rsidRPr="0079512F" w:rsidRDefault="00CE6F7F" w:rsidP="00F55579">
      <w:pPr>
        <w:widowControl w:val="0"/>
        <w:autoSpaceDE w:val="0"/>
        <w:autoSpaceDN w:val="0"/>
        <w:adjustRightInd w:val="0"/>
        <w:jc w:val="both"/>
        <w:rPr>
          <w:sz w:val="20"/>
        </w:rPr>
      </w:pPr>
    </w:p>
    <w:p w14:paraId="67D7E567" w14:textId="3A8844D7" w:rsidR="00CE6F7F" w:rsidRPr="00A94315" w:rsidRDefault="00CE6F7F" w:rsidP="00F55579">
      <w:pPr>
        <w:widowControl w:val="0"/>
        <w:autoSpaceDE w:val="0"/>
        <w:autoSpaceDN w:val="0"/>
        <w:adjustRightInd w:val="0"/>
        <w:jc w:val="both"/>
      </w:pPr>
      <w:r w:rsidRPr="00A94315">
        <w:t>But even with net zero emissions, ocean acidification, climate changes, glacier melting, and methane hydrate dissociation will continue to cause human misery and mass extinctions, because atmospheric concentrations have run above 350 ppm.  The 2050 scenario involves storing all the OMA bio-CO</w:t>
      </w:r>
      <w:r w:rsidRPr="00A94315">
        <w:rPr>
          <w:vertAlign w:val="subscript"/>
        </w:rPr>
        <w:t>2</w:t>
      </w:r>
      <w:r w:rsidRPr="00A94315">
        <w:t>, half of OMA combustion-CO</w:t>
      </w:r>
      <w:r w:rsidRPr="00A94315">
        <w:rPr>
          <w:vertAlign w:val="subscript"/>
        </w:rPr>
        <w:t>2</w:t>
      </w:r>
      <w:r w:rsidRPr="00A94315">
        <w:t xml:space="preserve"> exhaust, and two-thirds of fossil fuel emissio</w:t>
      </w:r>
      <w:r w:rsidR="00452D41" w:rsidRPr="00A94315">
        <w:t>ns while producing 420 quads/</w:t>
      </w:r>
      <w:proofErr w:type="spellStart"/>
      <w:r w:rsidR="00452D41" w:rsidRPr="00A94315">
        <w:t>yr</w:t>
      </w:r>
      <w:proofErr w:type="spellEnd"/>
      <w:r w:rsidR="00452D41" w:rsidRPr="00A94315">
        <w:t xml:space="preserve"> (123 million GWh/</w:t>
      </w:r>
      <w:proofErr w:type="spellStart"/>
      <w:r w:rsidR="00452D41" w:rsidRPr="00A94315">
        <w:t>y</w:t>
      </w:r>
      <w:r w:rsidRPr="00A94315">
        <w:t>r</w:t>
      </w:r>
      <w:proofErr w:type="spellEnd"/>
      <w:r w:rsidRPr="00A94315">
        <w:t>) of energy.  This removes a net 20 billion metric tons per year from the atmosphere.  Unfortunately, atmospheric CO</w:t>
      </w:r>
      <w:r w:rsidRPr="00A94315">
        <w:rPr>
          <w:vertAlign w:val="subscript"/>
        </w:rPr>
        <w:t>2</w:t>
      </w:r>
      <w:r w:rsidRPr="00A94315">
        <w:t xml:space="preserve"> concentrations would drop at only half that rate as the oceans start giving up </w:t>
      </w:r>
      <w:proofErr w:type="gramStart"/>
      <w:r w:rsidRPr="00A94315">
        <w:t>their</w:t>
      </w:r>
      <w:proofErr w:type="gramEnd"/>
      <w:r w:rsidRPr="00A94315">
        <w:t xml:space="preserve"> dissolved CO</w:t>
      </w:r>
      <w:r w:rsidRPr="00A94315">
        <w:rPr>
          <w:vertAlign w:val="subscript"/>
        </w:rPr>
        <w:t>2</w:t>
      </w:r>
      <w:r w:rsidRPr="00A94315">
        <w:t xml:space="preserve">.  </w:t>
      </w:r>
    </w:p>
    <w:p w14:paraId="608898D3" w14:textId="77777777" w:rsidR="00CE6F7F" w:rsidRPr="0079512F" w:rsidRDefault="00CE6F7F" w:rsidP="00F55579">
      <w:pPr>
        <w:widowControl w:val="0"/>
        <w:autoSpaceDE w:val="0"/>
        <w:autoSpaceDN w:val="0"/>
        <w:adjustRightInd w:val="0"/>
        <w:jc w:val="both"/>
        <w:rPr>
          <w:sz w:val="20"/>
        </w:rPr>
      </w:pPr>
    </w:p>
    <w:p w14:paraId="735BD2E1" w14:textId="77777777" w:rsidR="00CE6F7F" w:rsidRPr="00A94315" w:rsidRDefault="00CE6F7F" w:rsidP="00F55579">
      <w:pPr>
        <w:widowControl w:val="0"/>
        <w:autoSpaceDE w:val="0"/>
        <w:autoSpaceDN w:val="0"/>
        <w:adjustRightInd w:val="0"/>
        <w:jc w:val="both"/>
      </w:pPr>
      <w:r w:rsidRPr="00A94315">
        <w:t>If atmospheric CO</w:t>
      </w:r>
      <w:r w:rsidRPr="00A94315">
        <w:rPr>
          <w:vertAlign w:val="subscript"/>
        </w:rPr>
        <w:t>2</w:t>
      </w:r>
      <w:r w:rsidRPr="00A94315">
        <w:t xml:space="preserve"> concentration (currently 400 ppm) continues to grow at its current business-as-usual exponential pace, it will be about 480 ppm in 2035 (Climate Interactive,</w:t>
      </w:r>
      <w:r w:rsidRPr="00A94315" w:rsidDel="00963C6E">
        <w:t xml:space="preserve"> </w:t>
      </w:r>
      <w:r w:rsidRPr="00A94315">
        <w:t>2011). However, perhaps rapid implementation of renewables, efficiency, OMA, and other carbon capture technologies will keep it below 450 ppm.  Presuming 100 ppm of atmospheric concentration equates to 500 billion tons of CO</w:t>
      </w:r>
      <w:r w:rsidRPr="00A94315">
        <w:rPr>
          <w:vertAlign w:val="subscript"/>
        </w:rPr>
        <w:t>2</w:t>
      </w:r>
      <w:r w:rsidRPr="00A94315">
        <w:t xml:space="preserve"> and half of CO</w:t>
      </w:r>
      <w:r w:rsidRPr="00A94315">
        <w:rPr>
          <w:vertAlign w:val="subscript"/>
        </w:rPr>
        <w:t>2</w:t>
      </w:r>
      <w:r w:rsidRPr="00A94315">
        <w:t xml:space="preserve"> removed will re-emerge from the oceans, it would take the removal about 1,000 billion tons of CO</w:t>
      </w:r>
      <w:r w:rsidRPr="00A94315">
        <w:rPr>
          <w:vertAlign w:val="subscript"/>
        </w:rPr>
        <w:t>2</w:t>
      </w:r>
      <w:r w:rsidRPr="00A94315">
        <w:t xml:space="preserve"> to drop the atmospheric concentration from 450 ppm to 350 ppm.  This could be done in 50 years using the 2040 scenario with OMA over about 6% of ocean surface. Or it would only take 30 years (and save much human misery) in the 2070 scenario with OMA over about 9% of ocean surface. </w:t>
      </w:r>
    </w:p>
    <w:p w14:paraId="24B60816" w14:textId="77777777" w:rsidR="00CE6F7F" w:rsidRPr="00A94315" w:rsidRDefault="00CE6F7F" w:rsidP="00F55579">
      <w:pPr>
        <w:widowControl w:val="0"/>
        <w:autoSpaceDE w:val="0"/>
        <w:autoSpaceDN w:val="0"/>
        <w:adjustRightInd w:val="0"/>
        <w:jc w:val="both"/>
      </w:pPr>
    </w:p>
    <w:p w14:paraId="766101B1" w14:textId="77777777" w:rsidR="00CE6F7F" w:rsidRPr="00A94315" w:rsidRDefault="00CE6F7F" w:rsidP="00F55579">
      <w:pPr>
        <w:widowControl w:val="0"/>
        <w:autoSpaceDE w:val="0"/>
        <w:autoSpaceDN w:val="0"/>
        <w:adjustRightInd w:val="0"/>
        <w:jc w:val="both"/>
      </w:pPr>
      <w:r w:rsidRPr="00A94315">
        <w:t>Note that the OMA</w:t>
      </w:r>
      <w:r w:rsidRPr="00A94315">
        <w:rPr>
          <w:color w:val="000000"/>
        </w:rPr>
        <w:t xml:space="preserve"> renewable energy output of 176 million GWh/year (600 quadrillion Btu/year) is equivalent to all the energy projected to be needed from fossil fuels in 2035.  We assume additional </w:t>
      </w:r>
      <w:r w:rsidRPr="00A94315">
        <w:rPr>
          <w:color w:val="000000"/>
        </w:rPr>
        <w:lastRenderedPageBreak/>
        <w:t>energy needed in future years would come from other renewables, such as wind, solar power, geothermal, and other ocean energy technologies.  The timeline could be faster with more rapid implementation of other renewables and efficiency measures than currently assumed by EIA (2011).</w:t>
      </w:r>
    </w:p>
    <w:p w14:paraId="028ACB01" w14:textId="77777777" w:rsidR="00CE6F7F" w:rsidRPr="00DA0549" w:rsidRDefault="00CE6F7F" w:rsidP="00727A5B">
      <w:pPr>
        <w:widowControl w:val="0"/>
        <w:autoSpaceDE w:val="0"/>
        <w:autoSpaceDN w:val="0"/>
        <w:adjustRightInd w:val="0"/>
        <w:jc w:val="both"/>
        <w:rPr>
          <w:color w:val="000000"/>
          <w:sz w:val="20"/>
        </w:rPr>
      </w:pPr>
    </w:p>
    <w:p w14:paraId="219AA7D4" w14:textId="23F7017B" w:rsidR="00CE6F7F" w:rsidRPr="00A94315" w:rsidRDefault="00CE6F7F" w:rsidP="00727A5B">
      <w:pPr>
        <w:widowControl w:val="0"/>
        <w:autoSpaceDE w:val="0"/>
        <w:autoSpaceDN w:val="0"/>
        <w:adjustRightInd w:val="0"/>
        <w:jc w:val="both"/>
      </w:pPr>
      <w:r w:rsidRPr="00A94315">
        <w:t>The efficiency of CO</w:t>
      </w:r>
      <w:r w:rsidRPr="00A94315">
        <w:rPr>
          <w:vertAlign w:val="subscript"/>
        </w:rPr>
        <w:t>2</w:t>
      </w:r>
      <w:r w:rsidRPr="00A94315">
        <w:t xml:space="preserve"> removal is important and may be expressed by a life cycle assessment as two or more output/input ratios.  Table 1 suggests the overall ecosystem ratio of energy output/input (including all materials properly amortized and expressed as energy and the losses from conversion to electricity at 45% efficiency) for the CO</w:t>
      </w:r>
      <w:r w:rsidRPr="00A94315">
        <w:rPr>
          <w:vertAlign w:val="subscript"/>
        </w:rPr>
        <w:t>2</w:t>
      </w:r>
      <w:r w:rsidRPr="00A94315">
        <w:t xml:space="preserve"> stored is 4.  (This analysis is based on the method described by a private communication (Colosi, 2012) and including the analytical methods presented by Clarens, et al. (2011)). Another important ratio is about 20 tons of CO</w:t>
      </w:r>
      <w:r w:rsidRPr="00A94315">
        <w:rPr>
          <w:vertAlign w:val="subscript"/>
        </w:rPr>
        <w:t>2</w:t>
      </w:r>
      <w:r w:rsidRPr="00A94315">
        <w:t xml:space="preserve"> are stored for each ton of CO</w:t>
      </w:r>
      <w:r w:rsidRPr="00A94315">
        <w:rPr>
          <w:vertAlign w:val="subscript"/>
        </w:rPr>
        <w:t>2</w:t>
      </w:r>
      <w:r w:rsidRPr="00A94315">
        <w:t xml:space="preserve"> emitted from the energy required for capture and storage (processes 4.6 and 4.7).</w:t>
      </w:r>
    </w:p>
    <w:p w14:paraId="452527EA" w14:textId="77777777" w:rsidR="00CE6F7F" w:rsidRPr="00DA0549" w:rsidRDefault="00CE6F7F" w:rsidP="00727A5B">
      <w:pPr>
        <w:widowControl w:val="0"/>
        <w:autoSpaceDE w:val="0"/>
        <w:autoSpaceDN w:val="0"/>
        <w:adjustRightInd w:val="0"/>
        <w:jc w:val="both"/>
        <w:rPr>
          <w:sz w:val="20"/>
        </w:rPr>
      </w:pPr>
    </w:p>
    <w:p w14:paraId="3D7919D2" w14:textId="77777777" w:rsidR="00CE6F7F" w:rsidRPr="00A94315" w:rsidRDefault="00CE6F7F" w:rsidP="00727A5B">
      <w:pPr>
        <w:widowControl w:val="0"/>
        <w:autoSpaceDE w:val="0"/>
        <w:autoSpaceDN w:val="0"/>
        <w:adjustRightInd w:val="0"/>
        <w:jc w:val="both"/>
      </w:pPr>
      <w:r w:rsidRPr="00A94315">
        <w:t>Converting the above LCA numbers to costs using a forecasted cost for on-site generated electricity of $50/MWh and appropriate material costs would yield:</w:t>
      </w:r>
    </w:p>
    <w:p w14:paraId="69E050A6" w14:textId="77777777" w:rsidR="00CE6F7F" w:rsidRPr="00A94315" w:rsidRDefault="00CE6F7F" w:rsidP="00727A5B">
      <w:pPr>
        <w:widowControl w:val="0"/>
        <w:autoSpaceDE w:val="0"/>
        <w:autoSpaceDN w:val="0"/>
        <w:adjustRightInd w:val="0"/>
        <w:jc w:val="both"/>
      </w:pPr>
      <w:r w:rsidRPr="00A94315">
        <w:t>Process 4.6 – $9/ton of CO</w:t>
      </w:r>
      <w:r w:rsidRPr="00A94315">
        <w:rPr>
          <w:vertAlign w:val="subscript"/>
        </w:rPr>
        <w:t>2</w:t>
      </w:r>
      <w:r w:rsidRPr="00A94315">
        <w:t xml:space="preserve"> to capture, compress, and condense the CO</w:t>
      </w:r>
      <w:r w:rsidRPr="00A94315">
        <w:rPr>
          <w:vertAlign w:val="subscript"/>
        </w:rPr>
        <w:t>2</w:t>
      </w:r>
      <w:r w:rsidRPr="00A94315">
        <w:t>.</w:t>
      </w:r>
    </w:p>
    <w:p w14:paraId="5D82D575" w14:textId="77777777" w:rsidR="00CE6F7F" w:rsidRPr="00A94315" w:rsidRDefault="00CE6F7F" w:rsidP="00727A5B">
      <w:pPr>
        <w:widowControl w:val="0"/>
        <w:autoSpaceDE w:val="0"/>
        <w:autoSpaceDN w:val="0"/>
        <w:adjustRightInd w:val="0"/>
        <w:jc w:val="both"/>
      </w:pPr>
      <w:r w:rsidRPr="00A94315">
        <w:t>Process 4.7 – $7/ton of CO</w:t>
      </w:r>
      <w:r w:rsidRPr="00A94315">
        <w:rPr>
          <w:vertAlign w:val="subscript"/>
        </w:rPr>
        <w:t>2</w:t>
      </w:r>
      <w:r w:rsidRPr="00A94315">
        <w:t xml:space="preserve"> to manufacture, monitor, and maintain in perpetuity CO</w:t>
      </w:r>
      <w:r w:rsidRPr="00A94315">
        <w:rPr>
          <w:vertAlign w:val="subscript"/>
        </w:rPr>
        <w:t>2</w:t>
      </w:r>
      <w:r w:rsidRPr="00A94315">
        <w:t xml:space="preserve"> hydrate stored inside a geosynthetic container on the seafloor.   </w:t>
      </w:r>
    </w:p>
    <w:p w14:paraId="7F43CB95" w14:textId="77777777" w:rsidR="00CE6F7F" w:rsidRPr="00A94315" w:rsidRDefault="00CE6F7F" w:rsidP="00727A5B">
      <w:pPr>
        <w:widowControl w:val="0"/>
        <w:autoSpaceDE w:val="0"/>
        <w:autoSpaceDN w:val="0"/>
        <w:adjustRightInd w:val="0"/>
        <w:jc w:val="both"/>
      </w:pPr>
      <w:r w:rsidRPr="00A94315">
        <w:t>Total: $16/ton of CO</w:t>
      </w:r>
      <w:r w:rsidRPr="00A94315">
        <w:rPr>
          <w:vertAlign w:val="subscript"/>
        </w:rPr>
        <w:t>2</w:t>
      </w:r>
      <w:r w:rsidRPr="00A94315">
        <w:t xml:space="preserve"> from air to permanent storage.</w:t>
      </w:r>
    </w:p>
    <w:p w14:paraId="66E60A6A" w14:textId="77777777" w:rsidR="00CE6F7F" w:rsidRPr="00A94315" w:rsidRDefault="00CE6F7F" w:rsidP="00727A5B">
      <w:pPr>
        <w:widowControl w:val="0"/>
        <w:autoSpaceDE w:val="0"/>
        <w:autoSpaceDN w:val="0"/>
        <w:adjustRightInd w:val="0"/>
        <w:jc w:val="both"/>
      </w:pPr>
    </w:p>
    <w:p w14:paraId="222A64F1" w14:textId="4D7C98B1" w:rsidR="00CE6F7F" w:rsidRPr="00A94315" w:rsidRDefault="00057E2F" w:rsidP="0022399D">
      <w:pPr>
        <w:outlineLvl w:val="0"/>
        <w:rPr>
          <w:b/>
        </w:rPr>
      </w:pPr>
      <w:r w:rsidRPr="00A94315">
        <w:rPr>
          <w:b/>
        </w:rPr>
        <w:t>6.0</w:t>
      </w:r>
      <w:r w:rsidRPr="00A94315">
        <w:rPr>
          <w:b/>
        </w:rPr>
        <w:tab/>
        <w:t>A path to d</w:t>
      </w:r>
      <w:r w:rsidR="00CE6F7F" w:rsidRPr="00A94315">
        <w:rPr>
          <w:b/>
        </w:rPr>
        <w:t>eploying Ocean Afforestation</w:t>
      </w:r>
    </w:p>
    <w:p w14:paraId="4F6F429F" w14:textId="77777777" w:rsidR="00CE6F7F" w:rsidRPr="00A94315" w:rsidRDefault="00CE6F7F" w:rsidP="00B50158">
      <w:pPr>
        <w:rPr>
          <w:b/>
        </w:rPr>
      </w:pPr>
    </w:p>
    <w:p w14:paraId="7A5BBC21" w14:textId="53A237F0" w:rsidR="00CE6F7F" w:rsidRPr="00A94315" w:rsidRDefault="00CE6F7F" w:rsidP="007252CF">
      <w:pPr>
        <w:jc w:val="both"/>
        <w:rPr>
          <w:color w:val="000000"/>
        </w:rPr>
      </w:pPr>
      <w:r w:rsidRPr="00A94315">
        <w:rPr>
          <w:color w:val="000000"/>
        </w:rPr>
        <w:t xml:space="preserve">Since Ocean Afforestation is an entire ecosystem and not a single product, it is difficult to do the entire process including storing carbon economically at a small scale.  On the other hand, it is not necessary to wait for governments to impose a price on </w:t>
      </w:r>
      <w:r w:rsidRPr="00A94315">
        <w:t>CO</w:t>
      </w:r>
      <w:r w:rsidRPr="00A94315">
        <w:rPr>
          <w:vertAlign w:val="subscript"/>
        </w:rPr>
        <w:t>2</w:t>
      </w:r>
      <w:r w:rsidRPr="00A94315">
        <w:t xml:space="preserve"> </w:t>
      </w:r>
      <w:r w:rsidRPr="00A94315">
        <w:rPr>
          <w:color w:val="000000"/>
        </w:rPr>
        <w:t>emissions, because OMA produces energy.  Fiji and many other locations have looked at producing local biofuels (for example, Krishna, et al., 2009) but the potential of land-based feedstocks is small. However, recently, one of the authors (</w:t>
      </w:r>
      <w:r w:rsidRPr="00A94315">
        <w:rPr>
          <w:rFonts w:eastAsia="MS Minngs"/>
          <w:color w:val="000000"/>
        </w:rPr>
        <w:t>N'Yeurt</w:t>
      </w:r>
      <w:r w:rsidRPr="00A94315">
        <w:rPr>
          <w:color w:val="000000"/>
        </w:rPr>
        <w:t>) and other researchers at the University of the South</w:t>
      </w:r>
      <w:r w:rsidR="00FA0E1D" w:rsidRPr="00A94315">
        <w:rPr>
          <w:color w:val="000000"/>
        </w:rPr>
        <w:t xml:space="preserve"> Pacific have begun to see how Ocean A</w:t>
      </w:r>
      <w:r w:rsidRPr="00A94315">
        <w:rPr>
          <w:color w:val="000000"/>
        </w:rPr>
        <w:t>fforestation could expand to accomplish Fiji’s goal of replacing 100% of their expensive diesel-fueled electricity with bio-</w:t>
      </w:r>
      <w:r w:rsidRPr="00A94315">
        <w:t>CH</w:t>
      </w:r>
      <w:r w:rsidRPr="00A94315">
        <w:rPr>
          <w:vertAlign w:val="subscript"/>
        </w:rPr>
        <w:t>4</w:t>
      </w:r>
      <w:r w:rsidRPr="00A94315">
        <w:t xml:space="preserve"> </w:t>
      </w:r>
      <w:r w:rsidRPr="00A94315">
        <w:rPr>
          <w:color w:val="000000"/>
        </w:rPr>
        <w:t>using about 20,000 hectares of their sheltered bays.</w:t>
      </w:r>
    </w:p>
    <w:p w14:paraId="6F00FBCB" w14:textId="77777777" w:rsidR="006D0F00" w:rsidRPr="0095719A" w:rsidRDefault="006D0F00" w:rsidP="006D0F00">
      <w:pPr>
        <w:rPr>
          <w:sz w:val="18"/>
        </w:rPr>
      </w:pPr>
    </w:p>
    <w:p w14:paraId="27CB2CD5" w14:textId="77777777" w:rsidR="00CE6F7F" w:rsidRPr="00A94315" w:rsidRDefault="00CE6F7F" w:rsidP="007252CF">
      <w:pPr>
        <w:jc w:val="both"/>
        <w:rPr>
          <w:color w:val="000000"/>
        </w:rPr>
      </w:pPr>
      <w:r w:rsidRPr="00A94315">
        <w:t>Our analysis indicates that sheltered water OMA can compete with Fiji’s diesel-powered electricity while providing many eco-benefits, such as cleaning up excess nutrient runoff. The report of a demonstration beginning in Fiji will be published in a couple years.  (This would initially be without carbon storage.)</w:t>
      </w:r>
    </w:p>
    <w:p w14:paraId="2BC63C38" w14:textId="77777777" w:rsidR="006D0F00" w:rsidRPr="0095719A" w:rsidRDefault="006D0F00" w:rsidP="006D0F00">
      <w:pPr>
        <w:rPr>
          <w:sz w:val="18"/>
        </w:rPr>
      </w:pPr>
    </w:p>
    <w:p w14:paraId="2DFD9C88" w14:textId="77777777" w:rsidR="00CE6F7F" w:rsidRPr="00A94315" w:rsidRDefault="00CE6F7F" w:rsidP="00226432">
      <w:pPr>
        <w:jc w:val="both"/>
        <w:rPr>
          <w:color w:val="101010"/>
        </w:rPr>
      </w:pPr>
      <w:r w:rsidRPr="00A94315">
        <w:rPr>
          <w:color w:val="000000"/>
        </w:rPr>
        <w:t>Beyond sheltered bays, OMA requires research and demonstrations of marine agronomy in the open ocean by recycling nutrients to grow macroalgae without producing excessive microalgae.  New low-energy and low-materials techniques should be developed for growing and harvesting macroalgae.  Marine microbiologists may find methanogens capable of faster digestion at higher dissolved gas concentrations than the present authors interpolated from previous studies using terrestrial methanogens.  Techniques may be needed to address the potential loss of macroalgae during storms.  (The submerged digesters and most other process equipment would be below the depth influenced by storms.  The harvesting equipment may relocate to avoid storms.)</w:t>
      </w:r>
      <w:r w:rsidRPr="00A94315">
        <w:rPr>
          <w:color w:val="101010"/>
        </w:rPr>
        <w:t xml:space="preserve">  </w:t>
      </w:r>
    </w:p>
    <w:p w14:paraId="756AD2F0" w14:textId="77777777" w:rsidR="00CE6F7F" w:rsidRPr="00A94315" w:rsidRDefault="00CE6F7F" w:rsidP="00B50158">
      <w:pPr>
        <w:rPr>
          <w:color w:val="000000"/>
        </w:rPr>
      </w:pPr>
    </w:p>
    <w:p w14:paraId="1E2B309C" w14:textId="77777777" w:rsidR="00CE6F7F" w:rsidRPr="00A94315" w:rsidRDefault="00CE6F7F" w:rsidP="00226432">
      <w:pPr>
        <w:jc w:val="both"/>
        <w:rPr>
          <w:color w:val="101010"/>
        </w:rPr>
      </w:pPr>
      <w:r w:rsidRPr="00A94315">
        <w:rPr>
          <w:color w:val="000000"/>
        </w:rPr>
        <w:t xml:space="preserve">Trials should include liquid biofuel production and other systems for separating </w:t>
      </w:r>
      <w:r w:rsidRPr="00A94315">
        <w:t>CO</w:t>
      </w:r>
      <w:r w:rsidRPr="00A94315">
        <w:rPr>
          <w:vertAlign w:val="subscript"/>
        </w:rPr>
        <w:t>2</w:t>
      </w:r>
      <w:r w:rsidRPr="00A94315">
        <w:t xml:space="preserve"> </w:t>
      </w:r>
      <w:r w:rsidRPr="00A94315">
        <w:rPr>
          <w:color w:val="000000"/>
        </w:rPr>
        <w:t xml:space="preserve">from </w:t>
      </w:r>
      <w:r w:rsidRPr="00A94315">
        <w:t>CH</w:t>
      </w:r>
      <w:r w:rsidRPr="00A94315">
        <w:rPr>
          <w:vertAlign w:val="subscript"/>
        </w:rPr>
        <w:t>4</w:t>
      </w:r>
      <w:r w:rsidRPr="00A94315">
        <w:rPr>
          <w:color w:val="000000"/>
        </w:rPr>
        <w:t xml:space="preserve">.  OMA use of geosynthetics, other </w:t>
      </w:r>
      <w:r w:rsidRPr="00A94315">
        <w:t>CH</w:t>
      </w:r>
      <w:r w:rsidRPr="00A94315">
        <w:rPr>
          <w:vertAlign w:val="subscript"/>
        </w:rPr>
        <w:t>4</w:t>
      </w:r>
      <w:r w:rsidRPr="00A94315">
        <w:t xml:space="preserve"> </w:t>
      </w:r>
      <w:r w:rsidRPr="00A94315">
        <w:rPr>
          <w:color w:val="000000"/>
        </w:rPr>
        <w:t>purifying techniques, and nutrient recycling may help other terrestrial bio-waste-to-energy and sequestration operations.  There are potential feedbacks to investigate as large algal forests may change ocean albedo and thereby alter local temperatures. Increasing ocean temperatures and acidity from climate change</w:t>
      </w:r>
      <w:r w:rsidRPr="00A94315">
        <w:rPr>
          <w:color w:val="101010"/>
        </w:rPr>
        <w:t xml:space="preserve"> could have an effect not only on macroalgal distribution and biodiversity, but also on their physiology and photosynthetic performance.</w:t>
      </w:r>
    </w:p>
    <w:p w14:paraId="2863F2FD" w14:textId="77777777" w:rsidR="0095719A" w:rsidRPr="0095719A" w:rsidRDefault="0095719A" w:rsidP="0095719A">
      <w:pPr>
        <w:rPr>
          <w:sz w:val="18"/>
        </w:rPr>
      </w:pPr>
    </w:p>
    <w:p w14:paraId="3513F0C1" w14:textId="77777777" w:rsidR="00CE6F7F" w:rsidRPr="00A94315" w:rsidRDefault="00CE6F7F" w:rsidP="00226432">
      <w:pPr>
        <w:jc w:val="both"/>
      </w:pPr>
      <w:r w:rsidRPr="00A94315">
        <w:lastRenderedPageBreak/>
        <w:t>We project it could take up to five years (2013-2018) to get an initial demonstration 10,000 hectare forest operating economically in a near-shore sheltered water environment (involving an investment of about $20 million). This forest may be located where there are sufficient existing nutrients that nutrient recycling needs would be minimal and inexpensive.</w:t>
      </w:r>
    </w:p>
    <w:p w14:paraId="1300FFD9" w14:textId="77777777" w:rsidR="0095719A" w:rsidRPr="0095719A" w:rsidRDefault="0095719A" w:rsidP="0095719A">
      <w:pPr>
        <w:rPr>
          <w:sz w:val="18"/>
        </w:rPr>
      </w:pPr>
    </w:p>
    <w:p w14:paraId="1E098AA1" w14:textId="77777777" w:rsidR="00CE6F7F" w:rsidRPr="00A94315" w:rsidRDefault="00CE6F7F" w:rsidP="002E27F6">
      <w:pPr>
        <w:jc w:val="both"/>
      </w:pPr>
      <w:r w:rsidRPr="00A94315">
        <w:t>It could take another ten years (2018-2028) to get many sheltered water 10,000-hectare forests operating.  Initial forests may be located where there are sufficient existing nutrients that nutrient recycling needs would be minimal and inexpensive.  The sheltered water approach could involve as much as 0.3% of the ocean’s surface (1 million km</w:t>
      </w:r>
      <w:r w:rsidRPr="00A94315">
        <w:rPr>
          <w:vertAlign w:val="superscript"/>
        </w:rPr>
        <w:t>2</w:t>
      </w:r>
      <w:r w:rsidRPr="00A94315">
        <w:t>).  In this case, ‘sheltered water’ may be the entire Mediterranean Sea, the Gulf of California, and other such bodies of water where tropical storms are rare or enclosed, perhaps 4 million km</w:t>
      </w:r>
      <w:r w:rsidRPr="00A94315">
        <w:rPr>
          <w:vertAlign w:val="superscript"/>
        </w:rPr>
        <w:t>2</w:t>
      </w:r>
      <w:r w:rsidRPr="00A94315">
        <w:t>.  Sheltered water can be any depth.  Occupying a quarter of the available sheltered water may be a challenge, but all the sheltered water operations will put only a small dent in humanity’s CO</w:t>
      </w:r>
      <w:r w:rsidRPr="00A94315">
        <w:rPr>
          <w:vertAlign w:val="subscript"/>
        </w:rPr>
        <w:t>2</w:t>
      </w:r>
      <w:r w:rsidRPr="00A94315">
        <w:t xml:space="preserve"> debts. Open ocean operations are needed.</w:t>
      </w:r>
    </w:p>
    <w:p w14:paraId="2BF938B3" w14:textId="77777777" w:rsidR="0095719A" w:rsidRPr="0095719A" w:rsidRDefault="0095719A" w:rsidP="0095719A">
      <w:pPr>
        <w:rPr>
          <w:sz w:val="18"/>
        </w:rPr>
      </w:pPr>
    </w:p>
    <w:p w14:paraId="08F86BBA" w14:textId="77777777" w:rsidR="00CE6F7F" w:rsidRPr="00A94315" w:rsidRDefault="00CE6F7F" w:rsidP="002E27F6">
      <w:pPr>
        <w:jc w:val="both"/>
      </w:pPr>
      <w:r w:rsidRPr="00A94315">
        <w:t xml:space="preserve">The reason OMA expansion can be so rapid is that the basic technology involves low-tech components, such as harvesting nets, large geosynthetic (plastic) bags, and pipes, with the methane feeding into existing natural gas and diesel power plants.  Also, many sheltered waters suffer from an over-abundance of anthropomorphic nutrients.  </w:t>
      </w:r>
    </w:p>
    <w:p w14:paraId="38583BC1" w14:textId="77777777" w:rsidR="0095719A" w:rsidRPr="0095719A" w:rsidRDefault="0095719A" w:rsidP="0095719A">
      <w:pPr>
        <w:rPr>
          <w:sz w:val="18"/>
        </w:rPr>
      </w:pPr>
    </w:p>
    <w:p w14:paraId="48C26456" w14:textId="77777777" w:rsidR="00CE6F7F" w:rsidRPr="00A94315" w:rsidRDefault="00CE6F7F" w:rsidP="002E27F6">
      <w:pPr>
        <w:jc w:val="both"/>
      </w:pPr>
      <w:r w:rsidRPr="00A94315">
        <w:t>During these ten years (2018-2028) the first open-ocean 10,000-hectare forest could be developed with an investment of perhaps $100 million.  But it could take another seven years (2028-2035) to get many open-ocean 10,000-hectare forests operating.  Note the long-term goal of 9% ocean coverage (32 million km</w:t>
      </w:r>
      <w:r w:rsidRPr="00A94315">
        <w:rPr>
          <w:vertAlign w:val="superscript"/>
        </w:rPr>
        <w:t>2</w:t>
      </w:r>
      <w:r w:rsidRPr="00A94315">
        <w:t xml:space="preserve">) is daunting from an occupied space and necessary technology perspective.  This surface area represents most of every ocean gyre.  On the other hand, collecting and removing plastics from ocean gyres could be another OMA product.  </w:t>
      </w:r>
    </w:p>
    <w:p w14:paraId="60625B5F" w14:textId="77777777" w:rsidR="0095719A" w:rsidRPr="0095719A" w:rsidRDefault="0095719A" w:rsidP="0095719A">
      <w:pPr>
        <w:rPr>
          <w:sz w:val="18"/>
        </w:rPr>
      </w:pPr>
    </w:p>
    <w:p w14:paraId="07E04DCD" w14:textId="636572A9" w:rsidR="00CE6F7F" w:rsidRPr="00A94315" w:rsidRDefault="00CE6F7F" w:rsidP="002E27F6">
      <w:pPr>
        <w:jc w:val="both"/>
      </w:pPr>
      <w:r w:rsidRPr="00A94315">
        <w:t>Other issues that may slow deploying OMA and carbon storage include gathering start-up or expansion nutrients and energy infrastructure.  In the steady state, Ocean Afforestation nutrients cycle in a tight circle.  When increasing the size of the algal forest, nutrients must come from outside the tight circle.  Where there are anthropomorphic nutrients, the nutrient diversion recreates a more pre-human environment.  In either case, about 140 million metric tons of nitrogen a</w:t>
      </w:r>
      <w:r w:rsidR="00482FCA" w:rsidRPr="00A94315">
        <w:t>re needed for each increase of Ocean A</w:t>
      </w:r>
      <w:r w:rsidRPr="00A94315">
        <w:t>fforestation area by 0.35% of total ocean area.  It appears necessary to</w:t>
      </w:r>
      <w:r w:rsidR="00482FCA" w:rsidRPr="00A94315">
        <w:t xml:space="preserve"> increase Ocean A</w:t>
      </w:r>
      <w:r w:rsidRPr="00A94315">
        <w:t>fforestation area at 0.35% per year for several decades in order to drop atmospheric CO</w:t>
      </w:r>
      <w:r w:rsidRPr="00A94315">
        <w:rPr>
          <w:vertAlign w:val="subscript"/>
        </w:rPr>
        <w:t>2</w:t>
      </w:r>
      <w:r w:rsidRPr="00A94315">
        <w:t xml:space="preserve"> below 350 ppm before the end of the century. </w:t>
      </w:r>
    </w:p>
    <w:p w14:paraId="27075C08" w14:textId="77777777" w:rsidR="0095719A" w:rsidRPr="0095719A" w:rsidRDefault="0095719A" w:rsidP="0095719A">
      <w:pPr>
        <w:rPr>
          <w:sz w:val="18"/>
        </w:rPr>
      </w:pPr>
    </w:p>
    <w:p w14:paraId="28837C4B" w14:textId="77777777" w:rsidR="00CE6F7F" w:rsidRPr="00A94315" w:rsidRDefault="00CE6F7F" w:rsidP="002E27F6">
      <w:pPr>
        <w:jc w:val="both"/>
      </w:pPr>
      <w:r w:rsidRPr="00A94315">
        <w:t>Whatever fuel is produced will require transportation and conversion.  When the OMA energy product is pure bio-CH</w:t>
      </w:r>
      <w:r w:rsidRPr="00A94315">
        <w:rPr>
          <w:vertAlign w:val="subscript"/>
        </w:rPr>
        <w:t>4</w:t>
      </w:r>
      <w:r w:rsidRPr="00A94315">
        <w:t>, it is identical to natural gas.  Currently inexpensive natural gas is displacing coal as the fuel of choice for electricity generation.  The world is already building more power plants fueled by natural gas and the associated liquefied gas transportation systems.  Those power plants fueled by bio-CH</w:t>
      </w:r>
      <w:r w:rsidRPr="00A94315">
        <w:rPr>
          <w:vertAlign w:val="subscript"/>
        </w:rPr>
        <w:t>4</w:t>
      </w:r>
      <w:r w:rsidRPr="00A94315">
        <w:t xml:space="preserve"> and outfitted with exhaust capture can continue generating energy, capturing, and storing bio-CO</w:t>
      </w:r>
      <w:r w:rsidRPr="00A94315">
        <w:rPr>
          <w:vertAlign w:val="subscript"/>
        </w:rPr>
        <w:t>2</w:t>
      </w:r>
      <w:r w:rsidRPr="00A94315">
        <w:t>.  New infrastructure required for OMA produced energy is not likely to be a limiting factor to rapid expansion.  New infrastructure for other products: fish and other macroalgal products may be important for economics but the volumes are so much less that building their demand and infrastructure is not likely to limit forest expansion.</w:t>
      </w:r>
    </w:p>
    <w:p w14:paraId="5744160C" w14:textId="77777777" w:rsidR="00CE6F7F" w:rsidRPr="0095719A" w:rsidRDefault="00CE6F7F" w:rsidP="00C71308">
      <w:pPr>
        <w:rPr>
          <w:sz w:val="18"/>
        </w:rPr>
      </w:pPr>
    </w:p>
    <w:p w14:paraId="6A0EAB2A" w14:textId="77777777" w:rsidR="00CE6F7F" w:rsidRPr="00A94315" w:rsidRDefault="00CE6F7F" w:rsidP="0042510A">
      <w:pPr>
        <w:jc w:val="both"/>
      </w:pPr>
      <w:r w:rsidRPr="00A94315">
        <w:t>Quickly implementing Ocean Afforestation would be an effort on the order of putting a man on the moon, but both less expensive and likely a much better return on investment.  Research and development is needed in ocean ecosystems, marine biology, ocean chemistry and physics, ocean microbiology, geosynthetics, ocean engineering, economics, business, international law, and more.</w:t>
      </w:r>
    </w:p>
    <w:p w14:paraId="4FC95E2C" w14:textId="77777777" w:rsidR="00CE6F7F" w:rsidRPr="00A94315" w:rsidRDefault="00CE6F7F" w:rsidP="00C71308"/>
    <w:p w14:paraId="7B2E97BF" w14:textId="77777777" w:rsidR="00CE6F7F" w:rsidRPr="00A94315" w:rsidRDefault="00CE6F7F" w:rsidP="008D31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141413"/>
        </w:rPr>
      </w:pPr>
      <w:r w:rsidRPr="00A94315">
        <w:rPr>
          <w:b/>
          <w:color w:val="141413"/>
        </w:rPr>
        <w:t>Supplementary Information Available</w:t>
      </w:r>
    </w:p>
    <w:p w14:paraId="45806B74" w14:textId="466FC80C" w:rsidR="00CE6F7F" w:rsidRPr="00A94315" w:rsidRDefault="00CE6F7F" w:rsidP="00022349">
      <w:pPr>
        <w:tabs>
          <w:tab w:val="left" w:pos="-90"/>
        </w:tabs>
        <w:outlineLvl w:val="0"/>
        <w:rPr>
          <w:color w:val="141413"/>
        </w:rPr>
      </w:pPr>
      <w:r w:rsidRPr="00A94315">
        <w:rPr>
          <w:color w:val="141413"/>
        </w:rPr>
        <w:lastRenderedPageBreak/>
        <w:t xml:space="preserve">The following supplementary files regarding OMA calculations and processes are available at </w:t>
      </w:r>
      <w:hyperlink r:id="rId11" w:history="1">
        <w:r w:rsidR="007240E9" w:rsidRPr="004B4A7B">
          <w:rPr>
            <w:rStyle w:val="Hyperlink"/>
          </w:rPr>
          <w:t>http://dx.doi.org/10.1016/597j.psep.2012.10.008</w:t>
        </w:r>
      </w:hyperlink>
      <w:r w:rsidR="007240E9">
        <w:rPr>
          <w:color w:val="141413"/>
        </w:rPr>
        <w:t xml:space="preserve"> </w:t>
      </w:r>
    </w:p>
    <w:p w14:paraId="6AA71EB9" w14:textId="77777777" w:rsidR="00CE6F7F" w:rsidRPr="00A94315" w:rsidRDefault="00CE6F7F" w:rsidP="00022349">
      <w:pPr>
        <w:tabs>
          <w:tab w:val="left" w:pos="-90"/>
        </w:tabs>
        <w:outlineLvl w:val="0"/>
        <w:rPr>
          <w:color w:val="141413"/>
        </w:rPr>
      </w:pPr>
      <w:r w:rsidRPr="00A94315">
        <w:rPr>
          <w:color w:val="141413"/>
        </w:rPr>
        <w:t xml:space="preserve">- </w:t>
      </w:r>
      <w:r w:rsidRPr="00A94315">
        <w:t>OMA Process Concepts</w:t>
      </w:r>
    </w:p>
    <w:p w14:paraId="28529A64" w14:textId="77777777" w:rsidR="00CE6F7F" w:rsidRPr="00A94315" w:rsidRDefault="00CE6F7F" w:rsidP="00022349">
      <w:pPr>
        <w:tabs>
          <w:tab w:val="left" w:pos="-90"/>
        </w:tabs>
        <w:outlineLvl w:val="0"/>
        <w:rPr>
          <w:color w:val="141413"/>
        </w:rPr>
      </w:pPr>
      <w:r w:rsidRPr="00A94315">
        <w:rPr>
          <w:color w:val="141413"/>
        </w:rPr>
        <w:t xml:space="preserve">- OMA </w:t>
      </w:r>
      <w:r w:rsidRPr="00A94315">
        <w:rPr>
          <w:color w:val="000000"/>
        </w:rPr>
        <w:t>Discussion of Macroalgae Production and Density</w:t>
      </w:r>
    </w:p>
    <w:p w14:paraId="03F9B97C" w14:textId="77777777" w:rsidR="00CE6F7F" w:rsidRPr="00A94315" w:rsidRDefault="00CE6F7F" w:rsidP="00022349">
      <w:pPr>
        <w:tabs>
          <w:tab w:val="left" w:pos="-90"/>
        </w:tabs>
        <w:outlineLvl w:val="0"/>
      </w:pPr>
      <w:r w:rsidRPr="00A94315">
        <w:rPr>
          <w:color w:val="141413"/>
        </w:rPr>
        <w:t xml:space="preserve">- </w:t>
      </w:r>
      <w:r w:rsidRPr="00A94315">
        <w:t xml:space="preserve">OMA Calculations Supplement </w:t>
      </w:r>
    </w:p>
    <w:p w14:paraId="1E4D84A5" w14:textId="77777777" w:rsidR="00CE6F7F" w:rsidRPr="00A94315" w:rsidRDefault="00CE6F7F" w:rsidP="00981C7F">
      <w:pPr>
        <w:tabs>
          <w:tab w:val="left" w:pos="-90"/>
        </w:tabs>
        <w:outlineLvl w:val="0"/>
        <w:rPr>
          <w:color w:val="141413"/>
        </w:rPr>
      </w:pPr>
      <w:r w:rsidRPr="00A94315">
        <w:rPr>
          <w:color w:val="141413"/>
        </w:rPr>
        <w:t xml:space="preserve">- </w:t>
      </w:r>
      <w:r w:rsidRPr="00A94315">
        <w:t>OMA N</w:t>
      </w:r>
      <w:r w:rsidRPr="00A94315">
        <w:rPr>
          <w:vertAlign w:val="subscript"/>
        </w:rPr>
        <w:t>2</w:t>
      </w:r>
      <w:r w:rsidRPr="00A94315">
        <w:t>O Discussion</w:t>
      </w:r>
    </w:p>
    <w:p w14:paraId="1EE66311" w14:textId="77777777" w:rsidR="00CE6F7F" w:rsidRPr="00A94315" w:rsidRDefault="00CE6F7F" w:rsidP="00022349">
      <w:pPr>
        <w:tabs>
          <w:tab w:val="left" w:pos="-90"/>
        </w:tabs>
        <w:outlineLvl w:val="0"/>
        <w:rPr>
          <w:color w:val="141413"/>
        </w:rPr>
      </w:pPr>
      <w:r w:rsidRPr="00A94315">
        <w:t>- OMA Artificial Geologic Seafloor Storage of CO</w:t>
      </w:r>
      <w:r w:rsidRPr="00A94315">
        <w:rPr>
          <w:bCs/>
          <w:vertAlign w:val="subscript"/>
        </w:rPr>
        <w:t>2</w:t>
      </w:r>
    </w:p>
    <w:p w14:paraId="077354B4" w14:textId="77777777" w:rsidR="00CE6F7F" w:rsidRPr="00A94315" w:rsidRDefault="00CE6F7F" w:rsidP="00F73164">
      <w:pPr>
        <w:tabs>
          <w:tab w:val="left" w:pos="-90"/>
        </w:tabs>
        <w:outlineLvl w:val="0"/>
        <w:rPr>
          <w:color w:val="141413"/>
        </w:rPr>
      </w:pPr>
      <w:r w:rsidRPr="00A94315">
        <w:rPr>
          <w:color w:val="141413"/>
        </w:rPr>
        <w:t xml:space="preserve">- </w:t>
      </w:r>
      <w:r w:rsidRPr="00A94315">
        <w:rPr>
          <w:color w:val="000000"/>
          <w:shd w:val="clear" w:color="auto" w:fill="FFFFFF"/>
        </w:rPr>
        <w:t>OMA Gas Membrane Ammonia Concentration</w:t>
      </w:r>
    </w:p>
    <w:p w14:paraId="6E85227A" w14:textId="77777777" w:rsidR="00CE6F7F" w:rsidRPr="00A94315" w:rsidRDefault="00CE6F7F" w:rsidP="00022349">
      <w:pPr>
        <w:tabs>
          <w:tab w:val="left" w:pos="-90"/>
        </w:tabs>
        <w:outlineLvl w:val="0"/>
        <w:rPr>
          <w:b/>
        </w:rPr>
      </w:pPr>
    </w:p>
    <w:p w14:paraId="04889F28" w14:textId="77777777" w:rsidR="00CE6F7F" w:rsidRPr="00A94315" w:rsidRDefault="00CE6F7F" w:rsidP="0095719A">
      <w:pPr>
        <w:tabs>
          <w:tab w:val="left" w:pos="-90"/>
        </w:tabs>
        <w:spacing w:after="40"/>
        <w:ind w:left="360" w:hanging="360"/>
        <w:outlineLvl w:val="0"/>
        <w:rPr>
          <w:b/>
        </w:rPr>
      </w:pPr>
      <w:r w:rsidRPr="00A94315">
        <w:rPr>
          <w:b/>
        </w:rPr>
        <w:t>References</w:t>
      </w:r>
    </w:p>
    <w:p w14:paraId="18685572" w14:textId="77777777" w:rsidR="005361AE" w:rsidRPr="00A94315" w:rsidRDefault="005361AE" w:rsidP="0095719A">
      <w:pPr>
        <w:spacing w:after="40"/>
        <w:ind w:left="360" w:hanging="360"/>
        <w:rPr>
          <w:rFonts w:eastAsia="Times New Roman"/>
        </w:rPr>
      </w:pPr>
      <w:r w:rsidRPr="00A94315">
        <w:t xml:space="preserve">Agee, E., Orton, A., Rogers, J., 2012. </w:t>
      </w:r>
      <w:r w:rsidRPr="00A94315">
        <w:rPr>
          <w:rFonts w:eastAsia="Times New Roman"/>
          <w:bCs/>
          <w:kern w:val="36"/>
        </w:rPr>
        <w:t>CO</w:t>
      </w:r>
      <w:r w:rsidRPr="00A94315">
        <w:rPr>
          <w:rFonts w:eastAsia="Times New Roman"/>
          <w:bCs/>
          <w:kern w:val="36"/>
          <w:vertAlign w:val="subscript"/>
        </w:rPr>
        <w:t>2</w:t>
      </w:r>
      <w:r w:rsidRPr="00A94315">
        <w:rPr>
          <w:rFonts w:eastAsia="Times New Roman"/>
          <w:bCs/>
          <w:kern w:val="36"/>
        </w:rPr>
        <w:t xml:space="preserve"> Snow Deposition in Antarctica to Curtail Anthropogenic Global Warming. </w:t>
      </w:r>
      <w:r w:rsidRPr="00A94315">
        <w:rPr>
          <w:rFonts w:eastAsia="Times New Roman"/>
        </w:rPr>
        <w:t xml:space="preserve">J. </w:t>
      </w:r>
      <w:proofErr w:type="spellStart"/>
      <w:r w:rsidRPr="00A94315">
        <w:rPr>
          <w:rFonts w:eastAsia="Times New Roman"/>
        </w:rPr>
        <w:t>Clim</w:t>
      </w:r>
      <w:proofErr w:type="spellEnd"/>
      <w:r w:rsidRPr="00A94315">
        <w:rPr>
          <w:rFonts w:eastAsia="Times New Roman"/>
        </w:rPr>
        <w:t xml:space="preserve">. 2012 (in press). </w:t>
      </w:r>
      <w:hyperlink r:id="rId12" w:history="1">
        <w:r w:rsidRPr="00A94315">
          <w:rPr>
            <w:rFonts w:eastAsia="Times New Roman"/>
            <w:color w:val="0000FF"/>
            <w:u w:val="single"/>
          </w:rPr>
          <w:t>http://dx.doi.org/10.1175/JAMC-D-12-0110.1</w:t>
        </w:r>
      </w:hyperlink>
    </w:p>
    <w:p w14:paraId="084E6653" w14:textId="25A324E4" w:rsidR="00CE6F7F" w:rsidRPr="00A94315" w:rsidRDefault="00CE6F7F" w:rsidP="0095719A">
      <w:pPr>
        <w:autoSpaceDE w:val="0"/>
        <w:autoSpaceDN w:val="0"/>
        <w:adjustRightInd w:val="0"/>
        <w:spacing w:after="40"/>
        <w:ind w:left="360" w:hanging="360"/>
      </w:pPr>
      <w:r w:rsidRPr="00A94315">
        <w:t xml:space="preserve">Barton, A., Hales, B., Waldbusser, </w:t>
      </w:r>
      <w:proofErr w:type="spellStart"/>
      <w:r w:rsidRPr="00A94315">
        <w:t>G.G</w:t>
      </w:r>
      <w:proofErr w:type="spellEnd"/>
      <w:r w:rsidRPr="00A94315">
        <w:t>., Langdon, C., and Feely, R.A., 2012. The Pacific oyster, Crassostrea gigas, shows negative correlation to naturally elevated carbon dioxide levels: Implications for near-term ocea</w:t>
      </w:r>
      <w:r w:rsidR="00DD6B00" w:rsidRPr="00A94315">
        <w:t xml:space="preserve">n acidification effects.  </w:t>
      </w:r>
      <w:proofErr w:type="spellStart"/>
      <w:r w:rsidR="00DD6B00" w:rsidRPr="00A94315">
        <w:t>Limnol</w:t>
      </w:r>
      <w:proofErr w:type="spellEnd"/>
      <w:r w:rsidRPr="00A94315">
        <w:t xml:space="preserve">. </w:t>
      </w:r>
      <w:proofErr w:type="spellStart"/>
      <w:r w:rsidRPr="00A94315">
        <w:t>Oceanogr</w:t>
      </w:r>
      <w:proofErr w:type="spellEnd"/>
      <w:r w:rsidRPr="00A94315">
        <w:t>. 57</w:t>
      </w:r>
      <w:r w:rsidR="00DD6B00" w:rsidRPr="00A94315">
        <w:t>, 698–710</w:t>
      </w:r>
      <w:r w:rsidRPr="00A94315">
        <w:t>.</w:t>
      </w:r>
    </w:p>
    <w:p w14:paraId="3065D2E0" w14:textId="77777777" w:rsidR="00CE6F7F" w:rsidRPr="00A94315" w:rsidRDefault="00CE6F7F" w:rsidP="00957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360" w:hanging="360"/>
        <w:rPr>
          <w:color w:val="000000"/>
        </w:rPr>
      </w:pPr>
      <w:r w:rsidRPr="00A94315">
        <w:rPr>
          <w:color w:val="000000"/>
        </w:rPr>
        <w:t xml:space="preserve">Bruton, T., Lyons, H., </w:t>
      </w:r>
      <w:proofErr w:type="spellStart"/>
      <w:r w:rsidRPr="00A94315">
        <w:rPr>
          <w:color w:val="000000"/>
        </w:rPr>
        <w:t>Lerat</w:t>
      </w:r>
      <w:proofErr w:type="spellEnd"/>
      <w:r w:rsidRPr="00A94315">
        <w:rPr>
          <w:color w:val="000000"/>
        </w:rPr>
        <w:t xml:space="preserve">, Y., Stanley, M., and Rasmussen, </w:t>
      </w:r>
      <w:proofErr w:type="spellStart"/>
      <w:r w:rsidRPr="00A94315">
        <w:rPr>
          <w:color w:val="000000"/>
        </w:rPr>
        <w:t>M.B</w:t>
      </w:r>
      <w:proofErr w:type="spellEnd"/>
      <w:r w:rsidRPr="00A94315">
        <w:rPr>
          <w:color w:val="000000"/>
        </w:rPr>
        <w:t>., 2009. A review of the potential of marine algae as a source of biofuel in Ireland. Sustainable Energy Ireland, Dublin, Ireland.</w:t>
      </w:r>
    </w:p>
    <w:p w14:paraId="51CDD293" w14:textId="77777777" w:rsidR="003A3FF0" w:rsidRPr="00A94315" w:rsidRDefault="003A3FF0" w:rsidP="00957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360" w:hanging="360"/>
        <w:rPr>
          <w:color w:val="101010"/>
        </w:rPr>
      </w:pPr>
      <w:r w:rsidRPr="00A94315">
        <w:rPr>
          <w:color w:val="101010"/>
        </w:rPr>
        <w:t xml:space="preserve">Chung, I. K., Beardall, J., Mehta, S., Sahoo, D., </w:t>
      </w:r>
      <w:proofErr w:type="spellStart"/>
      <w:r w:rsidRPr="00A94315">
        <w:rPr>
          <w:color w:val="101010"/>
        </w:rPr>
        <w:t>Stojkovic</w:t>
      </w:r>
      <w:proofErr w:type="spellEnd"/>
      <w:r w:rsidRPr="00A94315">
        <w:rPr>
          <w:color w:val="101010"/>
        </w:rPr>
        <w:t xml:space="preserve">, S., 2011. Using marine macroalgae for carbon sequestration: a critical appraisal. J. Appl. </w:t>
      </w:r>
      <w:proofErr w:type="spellStart"/>
      <w:r w:rsidRPr="00A94315">
        <w:rPr>
          <w:color w:val="101010"/>
        </w:rPr>
        <w:t>Phycol</w:t>
      </w:r>
      <w:proofErr w:type="spellEnd"/>
      <w:r w:rsidRPr="00A94315">
        <w:rPr>
          <w:color w:val="101010"/>
        </w:rPr>
        <w:t xml:space="preserve">. 23, </w:t>
      </w:r>
      <w:r w:rsidRPr="00A94315">
        <w:rPr>
          <w:rStyle w:val="pagination"/>
          <w:rFonts w:eastAsia="Times New Roman"/>
        </w:rPr>
        <w:t>877-886.</w:t>
      </w:r>
    </w:p>
    <w:p w14:paraId="4D57ACE6" w14:textId="6712B8AC" w:rsidR="00CE6F7F" w:rsidRPr="00DE6E8F" w:rsidRDefault="00CE6F7F" w:rsidP="0095719A">
      <w:pPr>
        <w:pStyle w:val="BodyTextIndent"/>
        <w:tabs>
          <w:tab w:val="left" w:pos="-90"/>
        </w:tabs>
        <w:spacing w:after="40"/>
        <w:ind w:left="360"/>
        <w:rPr>
          <w:sz w:val="32"/>
          <w:szCs w:val="24"/>
        </w:rPr>
      </w:pPr>
      <w:r w:rsidRPr="00A94315">
        <w:rPr>
          <w:sz w:val="24"/>
          <w:szCs w:val="24"/>
        </w:rPr>
        <w:t xml:space="preserve">Chynoweth, D.P. 2002. Review of Biomethane from Marine Biomass. Department of Agricultural and Biological Engineering, University of Florida. </w:t>
      </w:r>
      <w:hyperlink r:id="rId13" w:history="1">
        <w:r w:rsidR="008F0437" w:rsidRPr="00DE6E8F">
          <w:rPr>
            <w:rStyle w:val="Hyperlink"/>
            <w:sz w:val="24"/>
          </w:rPr>
          <w:t>http://abe.ufl.edu/chyn/Webpagecurrent/publications_dc.htm</w:t>
        </w:r>
      </w:hyperlink>
      <w:r w:rsidR="008F0437" w:rsidRPr="00DE6E8F">
        <w:rPr>
          <w:color w:val="000000"/>
          <w:sz w:val="32"/>
          <w:szCs w:val="24"/>
        </w:rPr>
        <w:t xml:space="preserve"> </w:t>
      </w:r>
    </w:p>
    <w:p w14:paraId="3790BF02" w14:textId="77777777" w:rsidR="00CE6F7F" w:rsidRPr="00A94315" w:rsidRDefault="00CE6F7F" w:rsidP="0095719A">
      <w:pPr>
        <w:spacing w:after="40"/>
        <w:ind w:left="360" w:hanging="360"/>
        <w:rPr>
          <w:color w:val="000000"/>
        </w:rPr>
      </w:pPr>
      <w:r w:rsidRPr="00A94315">
        <w:rPr>
          <w:color w:val="000000"/>
        </w:rPr>
        <w:t xml:space="preserve">Clarens, A.F., Nassau, H., Resurreccion, E.P., White, M.A., and Colosi, L.M., (2011). </w:t>
      </w:r>
      <w:r w:rsidRPr="00A94315">
        <w:rPr>
          <w:bCs/>
          <w:color w:val="000000"/>
        </w:rPr>
        <w:t>Environmental Impacts of Algae-Derived Biodiesel and Bioelectricity for Transportation</w:t>
      </w:r>
      <w:r w:rsidRPr="00A94315">
        <w:rPr>
          <w:color w:val="000000"/>
        </w:rPr>
        <w:t xml:space="preserve"> </w:t>
      </w:r>
      <w:r w:rsidRPr="00A94315">
        <w:rPr>
          <w:iCs/>
          <w:color w:val="000000"/>
        </w:rPr>
        <w:t>Environ. Sci. Technol.</w:t>
      </w:r>
      <w:r w:rsidRPr="00A94315">
        <w:rPr>
          <w:rStyle w:val="citationvolume"/>
        </w:rPr>
        <w:t xml:space="preserve"> 45</w:t>
      </w:r>
      <w:r w:rsidRPr="00A94315">
        <w:t>, 7554–7560.</w:t>
      </w:r>
    </w:p>
    <w:p w14:paraId="010D4FC6" w14:textId="77777777" w:rsidR="00622CF8" w:rsidRPr="00A94315" w:rsidRDefault="00622CF8" w:rsidP="0095719A">
      <w:pPr>
        <w:tabs>
          <w:tab w:val="left" w:pos="-90"/>
        </w:tabs>
        <w:spacing w:after="40"/>
        <w:ind w:left="360" w:hanging="360"/>
      </w:pPr>
      <w:r w:rsidRPr="00A94315">
        <w:t>Colosi, L., 2012. Private communication.</w:t>
      </w:r>
    </w:p>
    <w:p w14:paraId="197AFFA5" w14:textId="6401E491" w:rsidR="00CE6F7F" w:rsidRPr="00A94315" w:rsidRDefault="00CE6F7F" w:rsidP="0095719A">
      <w:pPr>
        <w:spacing w:after="40"/>
        <w:ind w:left="360" w:hanging="360"/>
        <w:outlineLvl w:val="0"/>
        <w:rPr>
          <w:bCs/>
          <w:kern w:val="36"/>
        </w:rPr>
      </w:pPr>
      <w:r w:rsidRPr="00A94315">
        <w:t xml:space="preserve">Day, </w:t>
      </w:r>
      <w:proofErr w:type="spellStart"/>
      <w:r w:rsidRPr="00A94315">
        <w:t>J.G</w:t>
      </w:r>
      <w:proofErr w:type="spellEnd"/>
      <w:r w:rsidRPr="00A94315">
        <w:t xml:space="preserve">., </w:t>
      </w:r>
      <w:proofErr w:type="spellStart"/>
      <w:r w:rsidRPr="00A94315">
        <w:t>Slocombe</w:t>
      </w:r>
      <w:proofErr w:type="spellEnd"/>
      <w:r w:rsidRPr="00A94315">
        <w:t xml:space="preserve">, S., Stanley, M.S., 2011. Algal Biofuels: Biological Bottlenecks. Eur. J. </w:t>
      </w:r>
      <w:proofErr w:type="spellStart"/>
      <w:r w:rsidRPr="00A94315">
        <w:t>Phycol</w:t>
      </w:r>
      <w:proofErr w:type="spellEnd"/>
      <w:r w:rsidRPr="00A94315">
        <w:t>.</w:t>
      </w:r>
      <w:r w:rsidRPr="00A94315">
        <w:rPr>
          <w:bCs/>
        </w:rPr>
        <w:t xml:space="preserve"> </w:t>
      </w:r>
      <w:proofErr w:type="gramStart"/>
      <w:r w:rsidRPr="00A94315">
        <w:rPr>
          <w:bCs/>
        </w:rPr>
        <w:t>46</w:t>
      </w:r>
      <w:r w:rsidR="006851BB" w:rsidRPr="00A94315">
        <w:rPr>
          <w:bCs/>
        </w:rPr>
        <w:t xml:space="preserve"> (Supplement</w:t>
      </w:r>
      <w:r w:rsidR="00892665">
        <w:rPr>
          <w:bCs/>
        </w:rPr>
        <w:t xml:space="preserve"> 1</w:t>
      </w:r>
      <w:r w:rsidR="006851BB" w:rsidRPr="00A94315">
        <w:rPr>
          <w:bCs/>
        </w:rPr>
        <w:t>)</w:t>
      </w:r>
      <w:r w:rsidRPr="00A94315">
        <w:rPr>
          <w:bCs/>
        </w:rPr>
        <w:t>,</w:t>
      </w:r>
      <w:r w:rsidRPr="00A94315">
        <w:t xml:space="preserve"> 60-61.</w:t>
      </w:r>
      <w:proofErr w:type="gramEnd"/>
    </w:p>
    <w:p w14:paraId="1834197A" w14:textId="77777777" w:rsidR="00CE6F7F" w:rsidRPr="00A94315" w:rsidRDefault="00CE6F7F" w:rsidP="0095719A">
      <w:pPr>
        <w:spacing w:after="40"/>
        <w:ind w:left="360" w:hanging="360"/>
        <w:rPr>
          <w:rFonts w:eastAsia="MS Minngs"/>
          <w:color w:val="000000"/>
        </w:rPr>
      </w:pPr>
      <w:r w:rsidRPr="00A94315">
        <w:rPr>
          <w:rFonts w:eastAsia="MS Minngs"/>
          <w:color w:val="000000"/>
        </w:rPr>
        <w:t xml:space="preserve">Duan, Z., Mao, S., 2006. A thermodynamic model for calculating methane solubility, density and gas phase composition of methane-bearing aqueous fluids from 273 to 523 K and from 1 to 2000 bar. </w:t>
      </w:r>
      <w:proofErr w:type="spellStart"/>
      <w:r w:rsidRPr="00A94315">
        <w:t>Geochim</w:t>
      </w:r>
      <w:proofErr w:type="spellEnd"/>
      <w:r w:rsidRPr="00A94315">
        <w:t xml:space="preserve">. </w:t>
      </w:r>
      <w:proofErr w:type="spellStart"/>
      <w:r w:rsidRPr="00A94315">
        <w:t>Cosmochim</w:t>
      </w:r>
      <w:proofErr w:type="spellEnd"/>
      <w:r w:rsidRPr="00A94315">
        <w:t>.</w:t>
      </w:r>
      <w:r w:rsidRPr="00A94315">
        <w:rPr>
          <w:rFonts w:eastAsia="MS Minngs"/>
          <w:color w:val="000000"/>
        </w:rPr>
        <w:t xml:space="preserve"> Acta, 70, 3369–3386.</w:t>
      </w:r>
    </w:p>
    <w:p w14:paraId="21C20975" w14:textId="77777777" w:rsidR="00CE6F7F" w:rsidRPr="00A94315" w:rsidRDefault="00CE6F7F" w:rsidP="0095719A">
      <w:pPr>
        <w:tabs>
          <w:tab w:val="left" w:pos="-90"/>
        </w:tabs>
        <w:spacing w:after="40"/>
        <w:ind w:left="360" w:hanging="360"/>
        <w:rPr>
          <w:color w:val="101010"/>
        </w:rPr>
      </w:pPr>
      <w:r w:rsidRPr="00A94315">
        <w:rPr>
          <w:color w:val="101010"/>
        </w:rPr>
        <w:t xml:space="preserve">Gao, K., </w:t>
      </w:r>
      <w:proofErr w:type="spellStart"/>
      <w:r w:rsidRPr="00A94315">
        <w:rPr>
          <w:color w:val="101010"/>
        </w:rPr>
        <w:t>Aruga</w:t>
      </w:r>
      <w:proofErr w:type="spellEnd"/>
      <w:r w:rsidRPr="00A94315">
        <w:rPr>
          <w:color w:val="101010"/>
        </w:rPr>
        <w:t xml:space="preserve">, Y., Asada, K., Ishihara, T., </w:t>
      </w:r>
      <w:proofErr w:type="spellStart"/>
      <w:r w:rsidRPr="00A94315">
        <w:rPr>
          <w:color w:val="101010"/>
        </w:rPr>
        <w:t>Akano</w:t>
      </w:r>
      <w:proofErr w:type="spellEnd"/>
      <w:r w:rsidRPr="00A94315">
        <w:rPr>
          <w:color w:val="101010"/>
        </w:rPr>
        <w:t xml:space="preserve">, T., </w:t>
      </w:r>
      <w:proofErr w:type="spellStart"/>
      <w:r w:rsidRPr="00A94315">
        <w:rPr>
          <w:color w:val="101010"/>
        </w:rPr>
        <w:t>Kiyohara</w:t>
      </w:r>
      <w:proofErr w:type="spellEnd"/>
      <w:r w:rsidRPr="00A94315">
        <w:rPr>
          <w:color w:val="101010"/>
        </w:rPr>
        <w:t xml:space="preserve">, M., 1991. Enhanced growth of the red alga Porphyra yezoensis Ueda in high CO2 concentrations. J. Appl. </w:t>
      </w:r>
      <w:proofErr w:type="spellStart"/>
      <w:r w:rsidRPr="00A94315">
        <w:rPr>
          <w:color w:val="101010"/>
        </w:rPr>
        <w:t>Phycol</w:t>
      </w:r>
      <w:proofErr w:type="spellEnd"/>
      <w:r w:rsidRPr="00A94315">
        <w:rPr>
          <w:color w:val="101010"/>
        </w:rPr>
        <w:t>. 3, 355–362.</w:t>
      </w:r>
    </w:p>
    <w:p w14:paraId="2BF18075" w14:textId="77777777" w:rsidR="00CE6F7F" w:rsidRPr="00A94315" w:rsidRDefault="00CE6F7F" w:rsidP="00957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360" w:hanging="360"/>
        <w:rPr>
          <w:color w:val="000000"/>
        </w:rPr>
      </w:pPr>
      <w:r w:rsidRPr="00A94315">
        <w:rPr>
          <w:color w:val="000000"/>
        </w:rPr>
        <w:t xml:space="preserve">Graham, </w:t>
      </w:r>
      <w:proofErr w:type="spellStart"/>
      <w:r w:rsidRPr="00A94315">
        <w:rPr>
          <w:color w:val="000000"/>
        </w:rPr>
        <w:t>M.H</w:t>
      </w:r>
      <w:proofErr w:type="spellEnd"/>
      <w:r w:rsidRPr="00A94315">
        <w:rPr>
          <w:color w:val="000000"/>
        </w:rPr>
        <w:t>., 2004. Effects of local deforestation of the diversity and structure of southern California giant kelp forest food webs. Ecosystems 7, 341-357.</w:t>
      </w:r>
    </w:p>
    <w:p w14:paraId="6AD9CFC2" w14:textId="77777777" w:rsidR="00CE6F7F" w:rsidRPr="00A94315" w:rsidRDefault="00CE6F7F" w:rsidP="0095719A">
      <w:pPr>
        <w:pStyle w:val="NormalWeb"/>
        <w:spacing w:before="0" w:beforeAutospacing="0" w:after="40" w:afterAutospacing="0"/>
        <w:ind w:left="360" w:hanging="360"/>
      </w:pPr>
      <w:r w:rsidRPr="00A94315">
        <w:rPr>
          <w:rStyle w:val="Strong"/>
          <w:b w:val="0"/>
        </w:rPr>
        <w:t xml:space="preserve">Graham, </w:t>
      </w:r>
      <w:proofErr w:type="spellStart"/>
      <w:r w:rsidRPr="00A94315">
        <w:rPr>
          <w:rStyle w:val="Strong"/>
          <w:b w:val="0"/>
        </w:rPr>
        <w:t>M.H</w:t>
      </w:r>
      <w:proofErr w:type="spellEnd"/>
      <w:r w:rsidRPr="00A94315">
        <w:rPr>
          <w:rStyle w:val="Strong"/>
          <w:b w:val="0"/>
        </w:rPr>
        <w:t>.</w:t>
      </w:r>
      <w:r w:rsidRPr="00A94315">
        <w:t xml:space="preserve">, Halpern, B.S., Carr, </w:t>
      </w:r>
      <w:proofErr w:type="spellStart"/>
      <w:r w:rsidRPr="00A94315">
        <w:t>M.H</w:t>
      </w:r>
      <w:proofErr w:type="spellEnd"/>
      <w:r w:rsidRPr="00A94315">
        <w:t xml:space="preserve">., 2008. Diversity and dynamics of Californian subtidal kelp forests, in: McClanahan, </w:t>
      </w:r>
      <w:proofErr w:type="spellStart"/>
      <w:r w:rsidRPr="00A94315">
        <w:t>T.R</w:t>
      </w:r>
      <w:proofErr w:type="spellEnd"/>
      <w:r w:rsidRPr="00A94315">
        <w:t xml:space="preserve">., Branch, </w:t>
      </w:r>
      <w:proofErr w:type="spellStart"/>
      <w:r w:rsidRPr="00A94315">
        <w:t>G.R</w:t>
      </w:r>
      <w:proofErr w:type="spellEnd"/>
      <w:r w:rsidRPr="00A94315">
        <w:t>. (Eds.), Food Webs and the Dynamics of Marine Benthic Ecosystems, Oxford University Press, United Kingdom, pp. 103-134.</w:t>
      </w:r>
    </w:p>
    <w:p w14:paraId="41043BB7" w14:textId="77777777" w:rsidR="00CE6F7F" w:rsidRPr="00A94315" w:rsidRDefault="00CE6F7F" w:rsidP="0095719A">
      <w:pPr>
        <w:tabs>
          <w:tab w:val="left" w:pos="-90"/>
        </w:tabs>
        <w:spacing w:after="40"/>
        <w:ind w:left="360" w:hanging="360"/>
        <w:rPr>
          <w:color w:val="000000"/>
        </w:rPr>
      </w:pPr>
      <w:r w:rsidRPr="00A94315">
        <w:rPr>
          <w:color w:val="000000"/>
        </w:rPr>
        <w:t xml:space="preserve">Hanisak, </w:t>
      </w:r>
      <w:r w:rsidRPr="00A94315">
        <w:rPr>
          <w:color w:val="000000"/>
          <w:spacing w:val="12"/>
        </w:rPr>
        <w:t xml:space="preserve">M.D., </w:t>
      </w:r>
      <w:r w:rsidRPr="00A94315">
        <w:rPr>
          <w:color w:val="000000"/>
        </w:rPr>
        <w:t>1981.</w:t>
      </w:r>
      <w:r w:rsidRPr="00A94315">
        <w:rPr>
          <w:color w:val="000000"/>
          <w:spacing w:val="33"/>
        </w:rPr>
        <w:t xml:space="preserve"> </w:t>
      </w:r>
      <w:r w:rsidRPr="00A94315">
        <w:rPr>
          <w:color w:val="000000"/>
        </w:rPr>
        <w:t xml:space="preserve">Recycling </w:t>
      </w:r>
      <w:r w:rsidRPr="00A94315">
        <w:rPr>
          <w:color w:val="000000"/>
          <w:spacing w:val="17"/>
        </w:rPr>
        <w:t>the</w:t>
      </w:r>
      <w:r w:rsidRPr="00A94315">
        <w:rPr>
          <w:color w:val="000000"/>
          <w:spacing w:val="25"/>
        </w:rPr>
        <w:t xml:space="preserve"> </w:t>
      </w:r>
      <w:r w:rsidRPr="00A94315">
        <w:rPr>
          <w:color w:val="000000"/>
        </w:rPr>
        <w:t>residues</w:t>
      </w:r>
      <w:r w:rsidRPr="00A94315">
        <w:rPr>
          <w:color w:val="000000"/>
          <w:spacing w:val="39"/>
        </w:rPr>
        <w:t xml:space="preserve"> </w:t>
      </w:r>
      <w:r w:rsidRPr="00A94315">
        <w:rPr>
          <w:color w:val="000000"/>
        </w:rPr>
        <w:t>from</w:t>
      </w:r>
      <w:r w:rsidRPr="00A94315">
        <w:rPr>
          <w:color w:val="000000"/>
          <w:spacing w:val="24"/>
        </w:rPr>
        <w:t xml:space="preserve"> </w:t>
      </w:r>
      <w:r w:rsidRPr="00A94315">
        <w:rPr>
          <w:color w:val="000000"/>
          <w:w w:val="107"/>
        </w:rPr>
        <w:t>anaerobic</w:t>
      </w:r>
      <w:r w:rsidRPr="00A94315">
        <w:rPr>
          <w:color w:val="000000"/>
        </w:rPr>
        <w:t xml:space="preserve"> digesters </w:t>
      </w:r>
      <w:r w:rsidRPr="00A94315">
        <w:rPr>
          <w:color w:val="000000"/>
          <w:spacing w:val="27"/>
        </w:rPr>
        <w:t>as</w:t>
      </w:r>
      <w:r w:rsidRPr="00A94315">
        <w:rPr>
          <w:color w:val="000000"/>
          <w:spacing w:val="36"/>
        </w:rPr>
        <w:t xml:space="preserve"> </w:t>
      </w:r>
      <w:r w:rsidRPr="00A94315">
        <w:rPr>
          <w:color w:val="000000"/>
        </w:rPr>
        <w:t>a</w:t>
      </w:r>
      <w:r w:rsidRPr="00A94315">
        <w:rPr>
          <w:color w:val="000000"/>
          <w:spacing w:val="39"/>
        </w:rPr>
        <w:t xml:space="preserve"> </w:t>
      </w:r>
      <w:r w:rsidRPr="00A94315">
        <w:rPr>
          <w:color w:val="000000"/>
        </w:rPr>
        <w:t xml:space="preserve">nutrient </w:t>
      </w:r>
      <w:r w:rsidRPr="00A94315">
        <w:rPr>
          <w:color w:val="000000"/>
          <w:spacing w:val="9"/>
        </w:rPr>
        <w:t>source</w:t>
      </w:r>
      <w:r w:rsidRPr="00A94315">
        <w:rPr>
          <w:color w:val="000000"/>
        </w:rPr>
        <w:t xml:space="preserve"> </w:t>
      </w:r>
      <w:r w:rsidRPr="00A94315">
        <w:rPr>
          <w:color w:val="000000"/>
          <w:spacing w:val="16"/>
        </w:rPr>
        <w:t>for</w:t>
      </w:r>
      <w:r w:rsidRPr="00A94315">
        <w:rPr>
          <w:color w:val="000000"/>
          <w:spacing w:val="35"/>
        </w:rPr>
        <w:t xml:space="preserve"> </w:t>
      </w:r>
      <w:r w:rsidRPr="00A94315">
        <w:rPr>
          <w:color w:val="000000"/>
        </w:rPr>
        <w:t xml:space="preserve">seaweed </w:t>
      </w:r>
      <w:r w:rsidRPr="00A94315">
        <w:rPr>
          <w:color w:val="000000"/>
          <w:spacing w:val="15"/>
        </w:rPr>
        <w:t>growth</w:t>
      </w:r>
      <w:r w:rsidRPr="00A94315">
        <w:rPr>
          <w:color w:val="000000"/>
        </w:rPr>
        <w:t>. Bot. Mar. 24, 57–62.</w:t>
      </w:r>
    </w:p>
    <w:p w14:paraId="5A73A73B" w14:textId="77777777" w:rsidR="00CE6F7F" w:rsidRPr="00A94315" w:rsidRDefault="00CE6F7F" w:rsidP="0095719A">
      <w:pPr>
        <w:tabs>
          <w:tab w:val="left" w:pos="-90"/>
        </w:tabs>
        <w:spacing w:after="40"/>
        <w:ind w:left="360" w:hanging="360"/>
      </w:pPr>
      <w:r w:rsidRPr="00A94315">
        <w:t xml:space="preserve">House, </w:t>
      </w:r>
      <w:proofErr w:type="spellStart"/>
      <w:r w:rsidRPr="00A94315">
        <w:t>K.Z</w:t>
      </w:r>
      <w:proofErr w:type="spellEnd"/>
      <w:r w:rsidRPr="00A94315">
        <w:t xml:space="preserve">., Schrag, D.P., Harvey, C.F., Lackner, </w:t>
      </w:r>
      <w:proofErr w:type="spellStart"/>
      <w:r w:rsidRPr="00A94315">
        <w:t>K.S</w:t>
      </w:r>
      <w:proofErr w:type="spellEnd"/>
      <w:r w:rsidRPr="00A94315">
        <w:t>. 2006. Permanent carbon dioxide storage in deep-sea sediments, Proc. Natl. Acad. Sci. USA 103, 12291–12295.</w:t>
      </w:r>
    </w:p>
    <w:p w14:paraId="21E374C7" w14:textId="4378B21C" w:rsidR="00CE6F7F" w:rsidRPr="00A94315" w:rsidRDefault="00CE6F7F" w:rsidP="0095719A">
      <w:pPr>
        <w:spacing w:after="40"/>
        <w:ind w:left="360" w:hanging="360"/>
        <w:rPr>
          <w:color w:val="000000"/>
        </w:rPr>
      </w:pPr>
      <w:r w:rsidRPr="00A94315">
        <w:rPr>
          <w:color w:val="000000"/>
        </w:rPr>
        <w:t xml:space="preserve">International Maritime Organization, </w:t>
      </w:r>
      <w:r w:rsidRPr="00A94315">
        <w:t xml:space="preserve">2011. </w:t>
      </w:r>
      <w:r w:rsidRPr="00A94315">
        <w:rPr>
          <w:rFonts w:eastAsia="MS Minngs"/>
          <w:bCs/>
          <w:color w:val="000000"/>
        </w:rPr>
        <w:t xml:space="preserve">Carbon Dioxide capture and storage in geological formations as clean development mechanism project activities. </w:t>
      </w:r>
      <w:hyperlink r:id="rId14" w:history="1">
        <w:r w:rsidR="00DE6E8F" w:rsidRPr="004B4A7B">
          <w:rPr>
            <w:rStyle w:val="Hyperlink"/>
          </w:rPr>
          <w:t>http://unfccc.int/files/meetings/cop_16/application/pdf/cop16_cmp_ccs.pdf</w:t>
        </w:r>
      </w:hyperlink>
      <w:r w:rsidR="00DE6E8F">
        <w:t xml:space="preserve"> </w:t>
      </w:r>
    </w:p>
    <w:p w14:paraId="2E03B0D0" w14:textId="77777777" w:rsidR="00CE6F7F" w:rsidRPr="00A94315" w:rsidRDefault="00CE6F7F" w:rsidP="0095719A">
      <w:pPr>
        <w:pStyle w:val="BodyTextIndent"/>
        <w:tabs>
          <w:tab w:val="left" w:pos="-90"/>
        </w:tabs>
        <w:spacing w:after="40"/>
        <w:ind w:left="360"/>
        <w:rPr>
          <w:sz w:val="24"/>
          <w:szCs w:val="24"/>
        </w:rPr>
      </w:pPr>
      <w:r w:rsidRPr="00A94315">
        <w:rPr>
          <w:rStyle w:val="style"/>
          <w:sz w:val="24"/>
          <w:szCs w:val="24"/>
        </w:rPr>
        <w:t xml:space="preserve">Kessler, J.D., Valentine, </w:t>
      </w:r>
      <w:proofErr w:type="spellStart"/>
      <w:r w:rsidRPr="00A94315">
        <w:rPr>
          <w:rStyle w:val="style"/>
          <w:sz w:val="24"/>
          <w:szCs w:val="24"/>
        </w:rPr>
        <w:t>D.L</w:t>
      </w:r>
      <w:proofErr w:type="spellEnd"/>
      <w:r w:rsidRPr="00A94315">
        <w:rPr>
          <w:rStyle w:val="style"/>
          <w:sz w:val="24"/>
          <w:szCs w:val="24"/>
        </w:rPr>
        <w:t xml:space="preserve">., Redmond, M.C., Du, M., Chan, E.W., Mendes, S.D., Quiroz, E.W., Villanueva, </w:t>
      </w:r>
      <w:proofErr w:type="spellStart"/>
      <w:r w:rsidRPr="00A94315">
        <w:rPr>
          <w:rStyle w:val="style"/>
          <w:sz w:val="24"/>
          <w:szCs w:val="24"/>
        </w:rPr>
        <w:t>C.J</w:t>
      </w:r>
      <w:proofErr w:type="spellEnd"/>
      <w:r w:rsidRPr="00A94315">
        <w:rPr>
          <w:rStyle w:val="style"/>
          <w:sz w:val="24"/>
          <w:szCs w:val="24"/>
        </w:rPr>
        <w:t xml:space="preserve">., </w:t>
      </w:r>
      <w:proofErr w:type="spellStart"/>
      <w:r w:rsidRPr="00A94315">
        <w:rPr>
          <w:rStyle w:val="style"/>
          <w:sz w:val="24"/>
          <w:szCs w:val="24"/>
        </w:rPr>
        <w:t>Shusta</w:t>
      </w:r>
      <w:proofErr w:type="spellEnd"/>
      <w:r w:rsidRPr="00A94315">
        <w:rPr>
          <w:rStyle w:val="style"/>
          <w:sz w:val="24"/>
          <w:szCs w:val="24"/>
        </w:rPr>
        <w:t>, S.S., Werra, L.M., 2011, A persistent oxygen anomaly reveals the fate of spilled methane in the deep Gulf of Mexico.</w:t>
      </w:r>
      <w:r w:rsidRPr="00A94315">
        <w:rPr>
          <w:rStyle w:val="style1"/>
          <w:sz w:val="24"/>
          <w:szCs w:val="24"/>
        </w:rPr>
        <w:t xml:space="preserve"> Science</w:t>
      </w:r>
      <w:r w:rsidRPr="00A94315">
        <w:rPr>
          <w:rStyle w:val="style"/>
          <w:sz w:val="24"/>
          <w:szCs w:val="24"/>
        </w:rPr>
        <w:t xml:space="preserve"> 331, 312.</w:t>
      </w:r>
    </w:p>
    <w:p w14:paraId="2BE12B46" w14:textId="4729A12F" w:rsidR="00CE6F7F" w:rsidRPr="00A94315" w:rsidRDefault="00CE6F7F" w:rsidP="0095719A">
      <w:pPr>
        <w:pStyle w:val="BodyTextIndent"/>
        <w:tabs>
          <w:tab w:val="left" w:pos="-90"/>
        </w:tabs>
        <w:spacing w:after="40"/>
        <w:ind w:left="360"/>
        <w:rPr>
          <w:sz w:val="24"/>
          <w:szCs w:val="24"/>
        </w:rPr>
      </w:pPr>
      <w:r w:rsidRPr="00A94315">
        <w:rPr>
          <w:sz w:val="24"/>
          <w:szCs w:val="24"/>
        </w:rPr>
        <w:lastRenderedPageBreak/>
        <w:t xml:space="preserve">Krishna, I., Bukarau, L., Fairbairn, P., Mario, R., 2009. Potential for liquid biofuels in Fiji. </w:t>
      </w:r>
      <w:proofErr w:type="spellStart"/>
      <w:r w:rsidRPr="00A94315">
        <w:rPr>
          <w:sz w:val="24"/>
          <w:szCs w:val="24"/>
        </w:rPr>
        <w:t>SOPAC</w:t>
      </w:r>
      <w:proofErr w:type="spellEnd"/>
      <w:r w:rsidRPr="00A94315">
        <w:rPr>
          <w:sz w:val="24"/>
          <w:szCs w:val="24"/>
        </w:rPr>
        <w:t xml:space="preserve"> Miscellaneous Report 677. Suva, Fiji. </w:t>
      </w:r>
      <w:hyperlink r:id="rId15" w:history="1">
        <w:r w:rsidR="00DE6E8F" w:rsidRPr="00DE6E8F">
          <w:rPr>
            <w:rStyle w:val="Hyperlink"/>
            <w:sz w:val="24"/>
          </w:rPr>
          <w:t>http://</w:t>
        </w:r>
        <w:r w:rsidR="00DE6E8F" w:rsidRPr="00DE6E8F">
          <w:rPr>
            <w:rStyle w:val="Hyperlink"/>
            <w:bCs/>
            <w:sz w:val="24"/>
          </w:rPr>
          <w:t>ict.sopac.org</w:t>
        </w:r>
        <w:r w:rsidR="00DE6E8F" w:rsidRPr="00DE6E8F">
          <w:rPr>
            <w:rStyle w:val="Hyperlink"/>
            <w:sz w:val="24"/>
          </w:rPr>
          <w:t>/VirLib/MR0677.pdf</w:t>
        </w:r>
      </w:hyperlink>
      <w:r w:rsidR="00DE6E8F" w:rsidRPr="00DE6E8F">
        <w:rPr>
          <w:rStyle w:val="url"/>
          <w:sz w:val="32"/>
          <w:szCs w:val="24"/>
        </w:rPr>
        <w:t xml:space="preserve"> </w:t>
      </w:r>
    </w:p>
    <w:p w14:paraId="7845E781" w14:textId="4DF75FF0" w:rsidR="00CE6F7F" w:rsidRPr="00A94315" w:rsidRDefault="00CE6F7F" w:rsidP="0095719A">
      <w:pPr>
        <w:spacing w:after="40"/>
        <w:ind w:left="360" w:hanging="360"/>
        <w:rPr>
          <w:color w:val="000000"/>
        </w:rPr>
      </w:pPr>
      <w:r w:rsidRPr="00A94315">
        <w:rPr>
          <w:color w:val="000000"/>
        </w:rPr>
        <w:t>L</w:t>
      </w:r>
      <w:r w:rsidRPr="00A94315">
        <w:rPr>
          <w:color w:val="000000"/>
          <w:spacing w:val="-1"/>
        </w:rPr>
        <w:t>e</w:t>
      </w:r>
      <w:r w:rsidRPr="00A94315">
        <w:rPr>
          <w:color w:val="000000"/>
        </w:rPr>
        <w:t>nstr</w:t>
      </w:r>
      <w:r w:rsidRPr="00A94315">
        <w:rPr>
          <w:color w:val="000000"/>
          <w:spacing w:val="-1"/>
        </w:rPr>
        <w:t>a</w:t>
      </w:r>
      <w:r w:rsidRPr="00A94315">
        <w:rPr>
          <w:color w:val="000000"/>
        </w:rPr>
        <w:t>, J.,</w:t>
      </w:r>
      <w:r w:rsidRPr="00A94315">
        <w:rPr>
          <w:color w:val="000000"/>
          <w:spacing w:val="5"/>
        </w:rPr>
        <w:t xml:space="preserve"> </w:t>
      </w:r>
      <w:r w:rsidRPr="00A94315">
        <w:rPr>
          <w:color w:val="000000"/>
          <w:u w:color="000000"/>
        </w:rPr>
        <w:t>R</w:t>
      </w:r>
      <w:r w:rsidRPr="00A94315">
        <w:rPr>
          <w:color w:val="000000"/>
          <w:spacing w:val="-2"/>
          <w:u w:color="000000"/>
        </w:rPr>
        <w:t>e</w:t>
      </w:r>
      <w:r w:rsidRPr="00A94315">
        <w:rPr>
          <w:color w:val="000000"/>
          <w:u w:color="000000"/>
        </w:rPr>
        <w:t>it</w:t>
      </w:r>
      <w:r w:rsidRPr="00A94315">
        <w:rPr>
          <w:color w:val="000000"/>
          <w:spacing w:val="-1"/>
          <w:u w:color="000000"/>
        </w:rPr>
        <w:t>h</w:t>
      </w:r>
      <w:r w:rsidRPr="00A94315">
        <w:rPr>
          <w:color w:val="000000"/>
        </w:rPr>
        <w:t>,</w:t>
      </w:r>
      <w:r w:rsidRPr="00A94315">
        <w:rPr>
          <w:color w:val="000000"/>
          <w:spacing w:val="4"/>
        </w:rPr>
        <w:t xml:space="preserve"> H., </w:t>
      </w:r>
      <w:r w:rsidRPr="00A94315">
        <w:rPr>
          <w:color w:val="000000"/>
        </w:rPr>
        <w:t>v</w:t>
      </w:r>
      <w:r w:rsidRPr="00A94315">
        <w:rPr>
          <w:color w:val="000000"/>
          <w:spacing w:val="-1"/>
        </w:rPr>
        <w:t>a</w:t>
      </w:r>
      <w:r w:rsidRPr="00A94315">
        <w:rPr>
          <w:color w:val="000000"/>
        </w:rPr>
        <w:t>n</w:t>
      </w:r>
      <w:r w:rsidRPr="00A94315">
        <w:rPr>
          <w:color w:val="000000"/>
          <w:spacing w:val="2"/>
        </w:rPr>
        <w:t xml:space="preserve"> </w:t>
      </w:r>
      <w:r w:rsidRPr="00A94315">
        <w:rPr>
          <w:color w:val="000000"/>
        </w:rPr>
        <w:t>H</w:t>
      </w:r>
      <w:r w:rsidRPr="00A94315">
        <w:rPr>
          <w:color w:val="000000"/>
          <w:spacing w:val="-2"/>
        </w:rPr>
        <w:t>a</w:t>
      </w:r>
      <w:r w:rsidRPr="00A94315">
        <w:rPr>
          <w:color w:val="000000"/>
        </w:rPr>
        <w:t xml:space="preserve">l, J., 2011. </w:t>
      </w:r>
      <w:r w:rsidRPr="00A94315">
        <w:rPr>
          <w:bCs/>
          <w:color w:val="000000"/>
          <w:position w:val="-1"/>
        </w:rPr>
        <w:t>From</w:t>
      </w:r>
      <w:r w:rsidRPr="00A94315">
        <w:rPr>
          <w:bCs/>
          <w:color w:val="000000"/>
          <w:spacing w:val="-14"/>
          <w:position w:val="-1"/>
        </w:rPr>
        <w:t xml:space="preserve"> </w:t>
      </w:r>
      <w:r w:rsidRPr="00A94315">
        <w:rPr>
          <w:bCs/>
          <w:color w:val="000000"/>
          <w:position w:val="-1"/>
        </w:rPr>
        <w:t>s</w:t>
      </w:r>
      <w:r w:rsidRPr="00A94315">
        <w:rPr>
          <w:bCs/>
          <w:color w:val="000000"/>
          <w:spacing w:val="2"/>
          <w:position w:val="-1"/>
        </w:rPr>
        <w:t>e</w:t>
      </w:r>
      <w:r w:rsidRPr="00A94315">
        <w:rPr>
          <w:bCs/>
          <w:color w:val="000000"/>
          <w:position w:val="-1"/>
        </w:rPr>
        <w:t>awe</w:t>
      </w:r>
      <w:r w:rsidRPr="00A94315">
        <w:rPr>
          <w:bCs/>
          <w:color w:val="000000"/>
          <w:spacing w:val="2"/>
          <w:position w:val="-1"/>
        </w:rPr>
        <w:t>e</w:t>
      </w:r>
      <w:r w:rsidRPr="00A94315">
        <w:rPr>
          <w:bCs/>
          <w:color w:val="000000"/>
          <w:position w:val="-1"/>
        </w:rPr>
        <w:t>d</w:t>
      </w:r>
      <w:r w:rsidRPr="00A94315">
        <w:rPr>
          <w:bCs/>
          <w:color w:val="000000"/>
          <w:spacing w:val="-16"/>
          <w:position w:val="-1"/>
        </w:rPr>
        <w:t xml:space="preserve"> </w:t>
      </w:r>
      <w:r w:rsidRPr="00A94315">
        <w:rPr>
          <w:bCs/>
          <w:color w:val="000000"/>
          <w:position w:val="-1"/>
        </w:rPr>
        <w:t>to</w:t>
      </w:r>
      <w:r w:rsidRPr="00A94315">
        <w:rPr>
          <w:bCs/>
          <w:color w:val="000000"/>
          <w:spacing w:val="-5"/>
          <w:position w:val="-1"/>
        </w:rPr>
        <w:t xml:space="preserve"> </w:t>
      </w:r>
      <w:r w:rsidRPr="00A94315">
        <w:rPr>
          <w:bCs/>
          <w:color w:val="000000"/>
          <w:spacing w:val="1"/>
          <w:position w:val="-1"/>
        </w:rPr>
        <w:t>c</w:t>
      </w:r>
      <w:r w:rsidRPr="00A94315">
        <w:rPr>
          <w:bCs/>
          <w:color w:val="000000"/>
          <w:position w:val="-1"/>
        </w:rPr>
        <w:t>hemic</w:t>
      </w:r>
      <w:r w:rsidRPr="00A94315">
        <w:rPr>
          <w:bCs/>
          <w:color w:val="000000"/>
          <w:spacing w:val="2"/>
          <w:position w:val="-1"/>
        </w:rPr>
        <w:t>a</w:t>
      </w:r>
      <w:r w:rsidRPr="00A94315">
        <w:rPr>
          <w:bCs/>
          <w:color w:val="000000"/>
          <w:position w:val="-1"/>
        </w:rPr>
        <w:t>ls</w:t>
      </w:r>
      <w:r w:rsidRPr="00A94315">
        <w:rPr>
          <w:bCs/>
          <w:color w:val="000000"/>
          <w:spacing w:val="-23"/>
          <w:position w:val="-1"/>
        </w:rPr>
        <w:t xml:space="preserve"> </w:t>
      </w:r>
      <w:r w:rsidRPr="00A94315">
        <w:rPr>
          <w:bCs/>
          <w:color w:val="000000"/>
          <w:position w:val="-1"/>
        </w:rPr>
        <w:t>and</w:t>
      </w:r>
      <w:r w:rsidRPr="00A94315">
        <w:rPr>
          <w:bCs/>
          <w:color w:val="000000"/>
          <w:spacing w:val="-8"/>
          <w:position w:val="-1"/>
        </w:rPr>
        <w:t xml:space="preserve"> </w:t>
      </w:r>
      <w:r w:rsidRPr="00A94315">
        <w:rPr>
          <w:bCs/>
          <w:color w:val="000000"/>
          <w:w w:val="99"/>
          <w:position w:val="-1"/>
        </w:rPr>
        <w:t>fue</w:t>
      </w:r>
      <w:r w:rsidRPr="00A94315">
        <w:rPr>
          <w:bCs/>
          <w:color w:val="000000"/>
          <w:spacing w:val="1"/>
          <w:w w:val="99"/>
          <w:position w:val="-1"/>
        </w:rPr>
        <w:t>l</w:t>
      </w:r>
      <w:r w:rsidRPr="00A94315">
        <w:rPr>
          <w:bCs/>
          <w:color w:val="000000"/>
          <w:w w:val="99"/>
          <w:position w:val="-1"/>
        </w:rPr>
        <w:t>s</w:t>
      </w:r>
      <w:r w:rsidRPr="00A94315">
        <w:rPr>
          <w:color w:val="000000"/>
        </w:rPr>
        <w:t xml:space="preserve">: </w:t>
      </w:r>
      <w:r w:rsidRPr="00A94315">
        <w:rPr>
          <w:bCs/>
          <w:color w:val="000000"/>
        </w:rPr>
        <w:t>Cur</w:t>
      </w:r>
      <w:r w:rsidRPr="00A94315">
        <w:rPr>
          <w:bCs/>
          <w:color w:val="000000"/>
          <w:spacing w:val="-1"/>
        </w:rPr>
        <w:t>r</w:t>
      </w:r>
      <w:r w:rsidRPr="00A94315">
        <w:rPr>
          <w:bCs/>
          <w:color w:val="000000"/>
        </w:rPr>
        <w:t>ent a</w:t>
      </w:r>
      <w:r w:rsidRPr="00A94315">
        <w:rPr>
          <w:bCs/>
          <w:color w:val="000000"/>
          <w:spacing w:val="-1"/>
        </w:rPr>
        <w:t>c</w:t>
      </w:r>
      <w:r w:rsidRPr="00A94315">
        <w:rPr>
          <w:bCs/>
          <w:color w:val="000000"/>
        </w:rPr>
        <w:t>ti</w:t>
      </w:r>
      <w:r w:rsidRPr="00A94315">
        <w:rPr>
          <w:bCs/>
          <w:color w:val="000000"/>
          <w:spacing w:val="-7"/>
        </w:rPr>
        <w:t>v</w:t>
      </w:r>
      <w:r w:rsidRPr="00A94315">
        <w:rPr>
          <w:bCs/>
          <w:color w:val="000000"/>
        </w:rPr>
        <w:t>it</w:t>
      </w:r>
      <w:r w:rsidRPr="00A94315">
        <w:rPr>
          <w:bCs/>
          <w:color w:val="000000"/>
          <w:spacing w:val="1"/>
        </w:rPr>
        <w:t>i</w:t>
      </w:r>
      <w:r w:rsidRPr="00A94315">
        <w:rPr>
          <w:bCs/>
          <w:color w:val="000000"/>
        </w:rPr>
        <w:t>es</w:t>
      </w:r>
      <w:r w:rsidRPr="00A94315">
        <w:rPr>
          <w:bCs/>
          <w:color w:val="000000"/>
          <w:spacing w:val="6"/>
        </w:rPr>
        <w:t xml:space="preserve"> </w:t>
      </w:r>
      <w:r w:rsidRPr="00A94315">
        <w:rPr>
          <w:bCs/>
          <w:color w:val="000000"/>
        </w:rPr>
        <w:t>in the Nethe</w:t>
      </w:r>
      <w:r w:rsidRPr="00A94315">
        <w:rPr>
          <w:bCs/>
          <w:color w:val="000000"/>
          <w:spacing w:val="-2"/>
        </w:rPr>
        <w:t>r</w:t>
      </w:r>
      <w:r w:rsidRPr="00A94315">
        <w:rPr>
          <w:bCs/>
          <w:color w:val="000000"/>
        </w:rPr>
        <w:t>lan</w:t>
      </w:r>
      <w:r w:rsidRPr="00A94315">
        <w:rPr>
          <w:bCs/>
          <w:color w:val="000000"/>
          <w:spacing w:val="1"/>
        </w:rPr>
        <w:t>d</w:t>
      </w:r>
      <w:r w:rsidRPr="00A94315">
        <w:rPr>
          <w:bCs/>
          <w:color w:val="000000"/>
        </w:rPr>
        <w:t>s on s</w:t>
      </w:r>
      <w:r w:rsidRPr="00A94315">
        <w:rPr>
          <w:bCs/>
          <w:color w:val="000000"/>
          <w:spacing w:val="-2"/>
        </w:rPr>
        <w:t>e</w:t>
      </w:r>
      <w:r w:rsidRPr="00A94315">
        <w:rPr>
          <w:bCs/>
          <w:color w:val="000000"/>
        </w:rPr>
        <w:t>a</w:t>
      </w:r>
      <w:r w:rsidRPr="00A94315">
        <w:rPr>
          <w:bCs/>
          <w:color w:val="000000"/>
          <w:spacing w:val="9"/>
        </w:rPr>
        <w:t>w</w:t>
      </w:r>
      <w:r w:rsidRPr="00A94315">
        <w:rPr>
          <w:bCs/>
          <w:color w:val="000000"/>
        </w:rPr>
        <w:t>e</w:t>
      </w:r>
      <w:r w:rsidRPr="00A94315">
        <w:rPr>
          <w:bCs/>
          <w:color w:val="000000"/>
          <w:spacing w:val="-2"/>
        </w:rPr>
        <w:t>e</w:t>
      </w:r>
      <w:r w:rsidRPr="00A94315">
        <w:rPr>
          <w:bCs/>
          <w:color w:val="000000"/>
        </w:rPr>
        <w:t>d</w:t>
      </w:r>
      <w:r w:rsidRPr="00A94315">
        <w:rPr>
          <w:bCs/>
          <w:color w:val="000000"/>
          <w:spacing w:val="-5"/>
        </w:rPr>
        <w:t xml:space="preserve"> </w:t>
      </w:r>
      <w:r w:rsidRPr="00A94315">
        <w:rPr>
          <w:bCs/>
          <w:color w:val="000000"/>
        </w:rPr>
        <w:t>cult</w:t>
      </w:r>
      <w:r w:rsidRPr="00A94315">
        <w:rPr>
          <w:bCs/>
          <w:color w:val="000000"/>
          <w:spacing w:val="1"/>
        </w:rPr>
        <w:t>i</w:t>
      </w:r>
      <w:r w:rsidRPr="00A94315">
        <w:rPr>
          <w:bCs/>
          <w:color w:val="000000"/>
          <w:spacing w:val="-8"/>
        </w:rPr>
        <w:t>v</w:t>
      </w:r>
      <w:r w:rsidRPr="00A94315">
        <w:rPr>
          <w:bCs/>
          <w:color w:val="000000"/>
        </w:rPr>
        <w:t>ation</w:t>
      </w:r>
      <w:r w:rsidRPr="00A94315">
        <w:rPr>
          <w:bCs/>
          <w:color w:val="000000"/>
          <w:spacing w:val="6"/>
        </w:rPr>
        <w:t xml:space="preserve"> </w:t>
      </w:r>
      <w:r w:rsidRPr="00A94315">
        <w:rPr>
          <w:bCs/>
          <w:color w:val="000000"/>
        </w:rPr>
        <w:t xml:space="preserve">and </w:t>
      </w:r>
      <w:proofErr w:type="spellStart"/>
      <w:r w:rsidRPr="00A94315">
        <w:rPr>
          <w:bCs/>
          <w:color w:val="000000"/>
        </w:rPr>
        <w:t>bi</w:t>
      </w:r>
      <w:r w:rsidRPr="00A94315">
        <w:rPr>
          <w:bCs/>
          <w:color w:val="000000"/>
          <w:spacing w:val="1"/>
        </w:rPr>
        <w:t>o</w:t>
      </w:r>
      <w:r w:rsidRPr="00A94315">
        <w:rPr>
          <w:bCs/>
          <w:color w:val="000000"/>
        </w:rPr>
        <w:t>r</w:t>
      </w:r>
      <w:r w:rsidRPr="00A94315">
        <w:rPr>
          <w:bCs/>
          <w:color w:val="000000"/>
          <w:spacing w:val="-2"/>
        </w:rPr>
        <w:t>e</w:t>
      </w:r>
      <w:r w:rsidRPr="00A94315">
        <w:rPr>
          <w:bCs/>
          <w:color w:val="000000"/>
        </w:rPr>
        <w:t>fi</w:t>
      </w:r>
      <w:r w:rsidRPr="00A94315">
        <w:rPr>
          <w:bCs/>
          <w:color w:val="000000"/>
          <w:spacing w:val="1"/>
        </w:rPr>
        <w:t>n</w:t>
      </w:r>
      <w:r w:rsidRPr="00A94315">
        <w:rPr>
          <w:bCs/>
          <w:color w:val="000000"/>
        </w:rPr>
        <w:t>e</w:t>
      </w:r>
      <w:r w:rsidRPr="00A94315">
        <w:rPr>
          <w:bCs/>
          <w:color w:val="000000"/>
          <w:spacing w:val="-2"/>
        </w:rPr>
        <w:t>r</w:t>
      </w:r>
      <w:r w:rsidRPr="00A94315">
        <w:rPr>
          <w:bCs/>
          <w:color w:val="000000"/>
        </w:rPr>
        <w:t>y</w:t>
      </w:r>
      <w:proofErr w:type="spellEnd"/>
      <w:r w:rsidRPr="00A94315">
        <w:rPr>
          <w:bCs/>
          <w:color w:val="000000"/>
        </w:rPr>
        <w:t xml:space="preserve">, </w:t>
      </w:r>
      <w:r w:rsidRPr="00A94315">
        <w:rPr>
          <w:color w:val="000000"/>
        </w:rPr>
        <w:t>E</w:t>
      </w:r>
      <w:r w:rsidRPr="00A94315">
        <w:rPr>
          <w:color w:val="000000"/>
          <w:spacing w:val="-1"/>
        </w:rPr>
        <w:t>n</w:t>
      </w:r>
      <w:r w:rsidRPr="00A94315">
        <w:rPr>
          <w:color w:val="000000"/>
        </w:rPr>
        <w:t>er</w:t>
      </w:r>
      <w:r w:rsidRPr="00A94315">
        <w:rPr>
          <w:color w:val="000000"/>
          <w:spacing w:val="-2"/>
        </w:rPr>
        <w:t>g</w:t>
      </w:r>
      <w:r w:rsidRPr="00A94315">
        <w:rPr>
          <w:color w:val="000000"/>
        </w:rPr>
        <w:t>y</w:t>
      </w:r>
      <w:r w:rsidRPr="00A94315">
        <w:rPr>
          <w:color w:val="000000"/>
          <w:spacing w:val="3"/>
        </w:rPr>
        <w:t xml:space="preserve"> </w:t>
      </w:r>
      <w:r w:rsidRPr="00A94315">
        <w:rPr>
          <w:color w:val="000000"/>
        </w:rPr>
        <w:t>Res</w:t>
      </w:r>
      <w:r w:rsidRPr="00A94315">
        <w:rPr>
          <w:color w:val="000000"/>
          <w:spacing w:val="-2"/>
        </w:rPr>
        <w:t>e</w:t>
      </w:r>
      <w:r w:rsidRPr="00A94315">
        <w:rPr>
          <w:color w:val="000000"/>
        </w:rPr>
        <w:t>arch</w:t>
      </w:r>
      <w:r w:rsidRPr="00A94315">
        <w:rPr>
          <w:color w:val="000000"/>
          <w:spacing w:val="1"/>
        </w:rPr>
        <w:t xml:space="preserve"> </w:t>
      </w:r>
      <w:r w:rsidRPr="00A94315">
        <w:rPr>
          <w:color w:val="000000"/>
        </w:rPr>
        <w:t>C</w:t>
      </w:r>
      <w:r w:rsidRPr="00A94315">
        <w:rPr>
          <w:color w:val="000000"/>
          <w:spacing w:val="-2"/>
        </w:rPr>
        <w:t>e</w:t>
      </w:r>
      <w:r w:rsidRPr="00A94315">
        <w:rPr>
          <w:color w:val="000000"/>
        </w:rPr>
        <w:t>ntre of</w:t>
      </w:r>
      <w:r w:rsidRPr="00A94315">
        <w:rPr>
          <w:color w:val="000000"/>
          <w:spacing w:val="1"/>
        </w:rPr>
        <w:t xml:space="preserve"> </w:t>
      </w:r>
      <w:r w:rsidRPr="00A94315">
        <w:rPr>
          <w:color w:val="000000"/>
        </w:rPr>
        <w:t>the Net</w:t>
      </w:r>
      <w:r w:rsidRPr="00A94315">
        <w:rPr>
          <w:color w:val="000000"/>
          <w:spacing w:val="-1"/>
        </w:rPr>
        <w:t>h</w:t>
      </w:r>
      <w:r w:rsidRPr="00A94315">
        <w:rPr>
          <w:color w:val="000000"/>
        </w:rPr>
        <w:t>er</w:t>
      </w:r>
      <w:r w:rsidRPr="00A94315">
        <w:rPr>
          <w:color w:val="000000"/>
          <w:spacing w:val="-1"/>
        </w:rPr>
        <w:t>l</w:t>
      </w:r>
      <w:r w:rsidRPr="00A94315">
        <w:rPr>
          <w:color w:val="000000"/>
        </w:rPr>
        <w:t>a</w:t>
      </w:r>
      <w:r w:rsidRPr="00A94315">
        <w:rPr>
          <w:color w:val="000000"/>
          <w:spacing w:val="-2"/>
        </w:rPr>
        <w:t>n</w:t>
      </w:r>
      <w:r w:rsidRPr="00A94315">
        <w:rPr>
          <w:color w:val="000000"/>
        </w:rPr>
        <w:t>ds.</w:t>
      </w:r>
      <w:r w:rsidR="008D6974" w:rsidRPr="00A94315">
        <w:rPr>
          <w:color w:val="000000"/>
        </w:rPr>
        <w:t xml:space="preserve"> </w:t>
      </w:r>
      <w:hyperlink r:id="rId16" w:history="1">
        <w:r w:rsidR="00DE6E8F" w:rsidRPr="004B4A7B">
          <w:rPr>
            <w:rStyle w:val="Hyperlink"/>
            <w:rFonts w:eastAsia="Arial"/>
          </w:rPr>
          <w:t>http://www.aquafuels.eu/attachments/076_11%20-%20H.Reith%20-%20From%20seaweed%20to%20fuel.pdf</w:t>
        </w:r>
      </w:hyperlink>
      <w:r w:rsidR="00DE6E8F">
        <w:rPr>
          <w:rFonts w:eastAsia="Arial"/>
          <w:color w:val="000000"/>
        </w:rPr>
        <w:t xml:space="preserve"> </w:t>
      </w:r>
    </w:p>
    <w:p w14:paraId="2CCF4038" w14:textId="77777777" w:rsidR="00CE6F7F" w:rsidRPr="00A94315" w:rsidRDefault="00CE6F7F" w:rsidP="0095719A">
      <w:pPr>
        <w:pStyle w:val="BodyTextIndent"/>
        <w:tabs>
          <w:tab w:val="left" w:pos="-90"/>
        </w:tabs>
        <w:spacing w:after="40"/>
        <w:ind w:left="360"/>
        <w:rPr>
          <w:color w:val="000000"/>
          <w:sz w:val="24"/>
          <w:szCs w:val="24"/>
        </w:rPr>
      </w:pPr>
      <w:r w:rsidRPr="00A94315">
        <w:rPr>
          <w:color w:val="000000"/>
          <w:sz w:val="24"/>
          <w:szCs w:val="24"/>
        </w:rPr>
        <w:t xml:space="preserve">Limbaugh, C., 1955. Fish life in the kelp beds and the effects of kelp harvesting. University of California Institute of Marine Resources, </w:t>
      </w:r>
      <w:proofErr w:type="spellStart"/>
      <w:r w:rsidRPr="00A94315">
        <w:rPr>
          <w:color w:val="000000"/>
          <w:sz w:val="24"/>
          <w:szCs w:val="24"/>
        </w:rPr>
        <w:t>IMR</w:t>
      </w:r>
      <w:proofErr w:type="spellEnd"/>
      <w:r w:rsidRPr="00A94315">
        <w:rPr>
          <w:color w:val="000000"/>
          <w:sz w:val="24"/>
          <w:szCs w:val="24"/>
        </w:rPr>
        <w:t xml:space="preserve"> Reference 55-9. San Diego, California, USA.</w:t>
      </w:r>
    </w:p>
    <w:p w14:paraId="25DF5DAA" w14:textId="77777777" w:rsidR="00CE6F7F" w:rsidRPr="00A94315" w:rsidRDefault="00CE6F7F" w:rsidP="0095719A">
      <w:pPr>
        <w:pStyle w:val="author"/>
        <w:tabs>
          <w:tab w:val="left" w:pos="-90"/>
        </w:tabs>
        <w:spacing w:before="0" w:beforeAutospacing="0" w:after="40" w:afterAutospacing="0"/>
        <w:ind w:left="360" w:hanging="360"/>
      </w:pPr>
      <w:r w:rsidRPr="00A94315">
        <w:t xml:space="preserve">Miles, </w:t>
      </w:r>
      <w:proofErr w:type="spellStart"/>
      <w:r w:rsidRPr="00A94315">
        <w:t>N.L</w:t>
      </w:r>
      <w:proofErr w:type="spellEnd"/>
      <w:r w:rsidRPr="00A94315">
        <w:t xml:space="preserve">., Richardson, </w:t>
      </w:r>
      <w:proofErr w:type="spellStart"/>
      <w:r w:rsidRPr="00A94315">
        <w:t>S.J</w:t>
      </w:r>
      <w:proofErr w:type="spellEnd"/>
      <w:r w:rsidRPr="00A94315">
        <w:t xml:space="preserve">., Davis, </w:t>
      </w:r>
      <w:proofErr w:type="spellStart"/>
      <w:r w:rsidRPr="00A94315">
        <w:t>K.J</w:t>
      </w:r>
      <w:proofErr w:type="spellEnd"/>
      <w:r w:rsidRPr="00A94315">
        <w:t xml:space="preserve">., </w:t>
      </w:r>
      <w:proofErr w:type="spellStart"/>
      <w:r w:rsidRPr="00A94315">
        <w:t>Lauvaux</w:t>
      </w:r>
      <w:proofErr w:type="spellEnd"/>
      <w:r w:rsidRPr="00A94315">
        <w:t xml:space="preserve">, T., Andrews, </w:t>
      </w:r>
      <w:proofErr w:type="spellStart"/>
      <w:r w:rsidRPr="00A94315">
        <w:t>A.A</w:t>
      </w:r>
      <w:proofErr w:type="spellEnd"/>
      <w:r w:rsidRPr="00A94315">
        <w:t xml:space="preserve">., West, </w:t>
      </w:r>
      <w:proofErr w:type="spellStart"/>
      <w:r w:rsidRPr="00A94315">
        <w:t>T.O</w:t>
      </w:r>
      <w:proofErr w:type="spellEnd"/>
      <w:r w:rsidRPr="00A94315">
        <w:t xml:space="preserve">., </w:t>
      </w:r>
      <w:proofErr w:type="spellStart"/>
      <w:r w:rsidRPr="00A94315">
        <w:t>Bandaru</w:t>
      </w:r>
      <w:proofErr w:type="spellEnd"/>
      <w:r w:rsidRPr="00A94315">
        <w:t xml:space="preserve">, V., </w:t>
      </w:r>
      <w:proofErr w:type="spellStart"/>
      <w:r w:rsidRPr="00A94315">
        <w:t>Crosson</w:t>
      </w:r>
      <w:proofErr w:type="spellEnd"/>
      <w:r w:rsidRPr="00A94315">
        <w:t xml:space="preserve">, </w:t>
      </w:r>
      <w:proofErr w:type="spellStart"/>
      <w:r w:rsidRPr="00A94315">
        <w:t>E.R</w:t>
      </w:r>
      <w:proofErr w:type="spellEnd"/>
      <w:r w:rsidRPr="00A94315">
        <w:t xml:space="preserve">., 2012. Large amplitude spatial and temporal gradients in atmospheric boundary layer CO2 mole fractions detected with a tower-based network in the U.S. upper Midwest. J. </w:t>
      </w:r>
      <w:proofErr w:type="spellStart"/>
      <w:r w:rsidRPr="00A94315">
        <w:t>Geophys</w:t>
      </w:r>
      <w:proofErr w:type="spellEnd"/>
      <w:r w:rsidRPr="00A94315">
        <w:t xml:space="preserve">. Res. 117, </w:t>
      </w:r>
      <w:proofErr w:type="spellStart"/>
      <w:r w:rsidRPr="00A94315">
        <w:t>G01019</w:t>
      </w:r>
      <w:proofErr w:type="spellEnd"/>
      <w:r w:rsidRPr="00A94315">
        <w:t>.</w:t>
      </w:r>
    </w:p>
    <w:p w14:paraId="05191AE1" w14:textId="6797EA57" w:rsidR="00CE6F7F" w:rsidRPr="00A94315" w:rsidRDefault="00CE6F7F" w:rsidP="0095719A">
      <w:pPr>
        <w:spacing w:after="40"/>
        <w:ind w:left="360" w:hanging="360"/>
        <w:rPr>
          <w:color w:val="101010"/>
        </w:rPr>
      </w:pPr>
      <w:r w:rsidRPr="00A94315">
        <w:rPr>
          <w:color w:val="000000"/>
        </w:rPr>
        <w:t xml:space="preserve">Monaco Declaration 2008. Second International Symposium on the Ocean in a High-CO2 World, Monaco, October 2008. </w:t>
      </w:r>
      <w:r w:rsidR="0087669A">
        <w:rPr>
          <w:color w:val="000000"/>
        </w:rPr>
        <w:br/>
      </w:r>
      <w:r w:rsidRPr="00A94315">
        <w:rPr>
          <w:color w:val="000000"/>
        </w:rPr>
        <w:t>http://www.ocean-acidification.net/Symposium2008/MonacoDeclaration.pdf</w:t>
      </w:r>
      <w:r w:rsidRPr="00A94315">
        <w:rPr>
          <w:color w:val="101010"/>
        </w:rPr>
        <w:t xml:space="preserve"> </w:t>
      </w:r>
    </w:p>
    <w:p w14:paraId="2F28CE3B" w14:textId="77777777" w:rsidR="00CE6F7F" w:rsidRPr="00A94315" w:rsidRDefault="00CE6F7F" w:rsidP="0095719A">
      <w:pPr>
        <w:tabs>
          <w:tab w:val="left" w:pos="-90"/>
        </w:tabs>
        <w:spacing w:after="40"/>
        <w:ind w:left="360" w:hanging="360"/>
      </w:pPr>
      <w:r w:rsidRPr="00A94315">
        <w:rPr>
          <w:color w:val="101010"/>
        </w:rPr>
        <w:t xml:space="preserve">Nellemann, C., Corcoran, E., Duarte, </w:t>
      </w:r>
      <w:proofErr w:type="spellStart"/>
      <w:r w:rsidRPr="00A94315">
        <w:rPr>
          <w:color w:val="101010"/>
        </w:rPr>
        <w:t>C.M</w:t>
      </w:r>
      <w:proofErr w:type="spellEnd"/>
      <w:r w:rsidRPr="00A94315">
        <w:rPr>
          <w:color w:val="101010"/>
        </w:rPr>
        <w:t xml:space="preserve">., Valdés, L., De Young, C., Fonseca, L., </w:t>
      </w:r>
      <w:proofErr w:type="spellStart"/>
      <w:r w:rsidRPr="00A94315">
        <w:rPr>
          <w:color w:val="101010"/>
        </w:rPr>
        <w:t>Grimsditch</w:t>
      </w:r>
      <w:proofErr w:type="spellEnd"/>
      <w:r w:rsidRPr="00A94315">
        <w:rPr>
          <w:color w:val="101010"/>
        </w:rPr>
        <w:t xml:space="preserve">, G., 2009. Blue carbon. A rapid response assessment. United Nations Environment </w:t>
      </w:r>
      <w:proofErr w:type="spellStart"/>
      <w:r w:rsidRPr="00A94315">
        <w:rPr>
          <w:color w:val="101010"/>
        </w:rPr>
        <w:t>Programme</w:t>
      </w:r>
      <w:proofErr w:type="spellEnd"/>
      <w:r w:rsidRPr="00A94315">
        <w:rPr>
          <w:color w:val="101010"/>
        </w:rPr>
        <w:t>.</w:t>
      </w:r>
    </w:p>
    <w:p w14:paraId="4B7C7284" w14:textId="3FD97894" w:rsidR="00CE6F7F" w:rsidRPr="00A94315" w:rsidRDefault="00CE6F7F" w:rsidP="0095719A">
      <w:pPr>
        <w:spacing w:after="40"/>
        <w:ind w:left="360" w:hanging="360"/>
        <w:rPr>
          <w:color w:val="000000"/>
          <w:w w:val="102"/>
        </w:rPr>
      </w:pPr>
      <w:r w:rsidRPr="00A94315">
        <w:rPr>
          <w:color w:val="000000"/>
          <w:spacing w:val="3"/>
        </w:rPr>
        <w:t>O</w:t>
      </w:r>
      <w:r w:rsidRPr="00A94315">
        <w:rPr>
          <w:color w:val="000000"/>
          <w:spacing w:val="1"/>
        </w:rPr>
        <w:t>il</w:t>
      </w:r>
      <w:r w:rsidRPr="00A94315">
        <w:rPr>
          <w:color w:val="000000"/>
          <w:spacing w:val="2"/>
        </w:rPr>
        <w:t>ga</w:t>
      </w:r>
      <w:r w:rsidRPr="00A94315">
        <w:rPr>
          <w:color w:val="000000"/>
        </w:rPr>
        <w:t>e</w:t>
      </w:r>
      <w:r w:rsidRPr="00A94315">
        <w:rPr>
          <w:color w:val="000000"/>
          <w:spacing w:val="18"/>
        </w:rPr>
        <w:t xml:space="preserve"> </w:t>
      </w:r>
      <w:r w:rsidRPr="00A94315">
        <w:t xml:space="preserve">2011. </w:t>
      </w:r>
      <w:r w:rsidRPr="00A94315">
        <w:rPr>
          <w:color w:val="000000"/>
          <w:spacing w:val="3"/>
        </w:rPr>
        <w:t>O</w:t>
      </w:r>
      <w:r w:rsidRPr="00A94315">
        <w:rPr>
          <w:color w:val="000000"/>
          <w:spacing w:val="1"/>
        </w:rPr>
        <w:t>il</w:t>
      </w:r>
      <w:r w:rsidRPr="00A94315">
        <w:rPr>
          <w:color w:val="000000"/>
          <w:spacing w:val="2"/>
        </w:rPr>
        <w:t>ga</w:t>
      </w:r>
      <w:r w:rsidRPr="00A94315">
        <w:rPr>
          <w:color w:val="000000"/>
        </w:rPr>
        <w:t>e</w:t>
      </w:r>
      <w:r w:rsidRPr="00A94315">
        <w:rPr>
          <w:color w:val="000000"/>
          <w:spacing w:val="18"/>
        </w:rPr>
        <w:t xml:space="preserve"> </w:t>
      </w:r>
      <w:r w:rsidRPr="00A94315">
        <w:rPr>
          <w:color w:val="000000"/>
          <w:spacing w:val="2"/>
        </w:rPr>
        <w:t>gu</w:t>
      </w:r>
      <w:r w:rsidRPr="00A94315">
        <w:rPr>
          <w:color w:val="000000"/>
          <w:spacing w:val="1"/>
        </w:rPr>
        <w:t>i</w:t>
      </w:r>
      <w:r w:rsidRPr="00A94315">
        <w:rPr>
          <w:color w:val="000000"/>
          <w:spacing w:val="2"/>
        </w:rPr>
        <w:t>d</w:t>
      </w:r>
      <w:r w:rsidRPr="00A94315">
        <w:rPr>
          <w:color w:val="000000"/>
        </w:rPr>
        <w:t>e</w:t>
      </w:r>
      <w:r w:rsidRPr="00A94315">
        <w:rPr>
          <w:color w:val="000000"/>
          <w:spacing w:val="15"/>
        </w:rPr>
        <w:t xml:space="preserve"> </w:t>
      </w:r>
      <w:r w:rsidRPr="00A94315">
        <w:rPr>
          <w:color w:val="000000"/>
          <w:spacing w:val="1"/>
        </w:rPr>
        <w:t>t</w:t>
      </w:r>
      <w:r w:rsidRPr="00A94315">
        <w:rPr>
          <w:color w:val="000000"/>
        </w:rPr>
        <w:t>o</w:t>
      </w:r>
      <w:r w:rsidRPr="00A94315">
        <w:rPr>
          <w:color w:val="000000"/>
          <w:spacing w:val="9"/>
        </w:rPr>
        <w:t xml:space="preserve"> </w:t>
      </w:r>
      <w:r w:rsidRPr="00A94315">
        <w:rPr>
          <w:color w:val="000000"/>
          <w:spacing w:val="1"/>
        </w:rPr>
        <w:t>f</w:t>
      </w:r>
      <w:r w:rsidRPr="00A94315">
        <w:rPr>
          <w:color w:val="000000"/>
          <w:spacing w:val="2"/>
        </w:rPr>
        <w:t>ue</w:t>
      </w:r>
      <w:r w:rsidRPr="00A94315">
        <w:rPr>
          <w:color w:val="000000"/>
          <w:spacing w:val="1"/>
        </w:rPr>
        <w:t>l</w:t>
      </w:r>
      <w:r w:rsidRPr="00A94315">
        <w:rPr>
          <w:color w:val="000000"/>
        </w:rPr>
        <w:t>s</w:t>
      </w:r>
      <w:r w:rsidRPr="00A94315">
        <w:rPr>
          <w:color w:val="000000"/>
          <w:spacing w:val="14"/>
        </w:rPr>
        <w:t xml:space="preserve"> </w:t>
      </w:r>
      <w:r w:rsidRPr="00A94315">
        <w:rPr>
          <w:color w:val="000000"/>
          <w:spacing w:val="1"/>
        </w:rPr>
        <w:t>fr</w:t>
      </w:r>
      <w:r w:rsidRPr="00A94315">
        <w:rPr>
          <w:color w:val="000000"/>
          <w:spacing w:val="2"/>
        </w:rPr>
        <w:t>o</w:t>
      </w:r>
      <w:r w:rsidRPr="00A94315">
        <w:rPr>
          <w:color w:val="000000"/>
        </w:rPr>
        <w:t>m</w:t>
      </w:r>
      <w:r w:rsidRPr="00A94315">
        <w:rPr>
          <w:color w:val="000000"/>
          <w:spacing w:val="14"/>
        </w:rPr>
        <w:t xml:space="preserve"> </w:t>
      </w:r>
      <w:r w:rsidRPr="00A94315">
        <w:rPr>
          <w:color w:val="000000"/>
          <w:spacing w:val="3"/>
        </w:rPr>
        <w:t>m</w:t>
      </w:r>
      <w:r w:rsidRPr="00A94315">
        <w:rPr>
          <w:color w:val="000000"/>
          <w:spacing w:val="2"/>
        </w:rPr>
        <w:t>ac</w:t>
      </w:r>
      <w:r w:rsidRPr="00A94315">
        <w:rPr>
          <w:color w:val="000000"/>
          <w:spacing w:val="1"/>
        </w:rPr>
        <w:t>r</w:t>
      </w:r>
      <w:r w:rsidRPr="00A94315">
        <w:rPr>
          <w:color w:val="000000"/>
          <w:spacing w:val="2"/>
        </w:rPr>
        <w:t>oa</w:t>
      </w:r>
      <w:r w:rsidRPr="00A94315">
        <w:rPr>
          <w:color w:val="000000"/>
          <w:spacing w:val="1"/>
        </w:rPr>
        <w:t>l</w:t>
      </w:r>
      <w:r w:rsidRPr="00A94315">
        <w:rPr>
          <w:color w:val="000000"/>
          <w:spacing w:val="2"/>
        </w:rPr>
        <w:t>gae</w:t>
      </w:r>
      <w:r w:rsidRPr="00A94315">
        <w:rPr>
          <w:color w:val="000000"/>
        </w:rPr>
        <w:t>.</w:t>
      </w:r>
      <w:r w:rsidRPr="00A94315">
        <w:rPr>
          <w:color w:val="000000"/>
          <w:w w:val="102"/>
        </w:rPr>
        <w:t xml:space="preserve"> </w:t>
      </w:r>
      <w:hyperlink r:id="rId17" w:history="1">
        <w:r w:rsidR="00DE6E8F" w:rsidRPr="004B4A7B">
          <w:rPr>
            <w:rStyle w:val="Hyperlink"/>
            <w:w w:val="102"/>
          </w:rPr>
          <w:t>http://www.oilgae.com/ref/report/report.html</w:t>
        </w:r>
      </w:hyperlink>
      <w:r w:rsidR="00DE6E8F">
        <w:rPr>
          <w:color w:val="000000"/>
          <w:w w:val="102"/>
        </w:rPr>
        <w:t xml:space="preserve"> </w:t>
      </w:r>
    </w:p>
    <w:p w14:paraId="00421DEE" w14:textId="77777777" w:rsidR="00CE6F7F" w:rsidRPr="00A94315" w:rsidRDefault="00CE6F7F" w:rsidP="0095719A">
      <w:pPr>
        <w:tabs>
          <w:tab w:val="left" w:pos="-90"/>
        </w:tabs>
        <w:autoSpaceDE w:val="0"/>
        <w:autoSpaceDN w:val="0"/>
        <w:adjustRightInd w:val="0"/>
        <w:spacing w:after="40"/>
        <w:ind w:left="360" w:hanging="360"/>
        <w:rPr>
          <w:color w:val="000000"/>
        </w:rPr>
      </w:pPr>
      <w:r w:rsidRPr="00A94315">
        <w:rPr>
          <w:color w:val="000000"/>
        </w:rPr>
        <w:t xml:space="preserve">Pereira, R. and Yarish, C., 2008. Mass Production of Marine Macroalgae, in: Sven Erik </w:t>
      </w:r>
      <w:proofErr w:type="spellStart"/>
      <w:r w:rsidRPr="00A94315">
        <w:rPr>
          <w:color w:val="000000"/>
        </w:rPr>
        <w:t>Jørgensen</w:t>
      </w:r>
      <w:proofErr w:type="spellEnd"/>
      <w:r w:rsidRPr="00A94315">
        <w:rPr>
          <w:color w:val="000000"/>
        </w:rPr>
        <w:t xml:space="preserve">, S.E., </w:t>
      </w:r>
      <w:proofErr w:type="spellStart"/>
      <w:r w:rsidRPr="00A94315">
        <w:rPr>
          <w:color w:val="000000"/>
        </w:rPr>
        <w:t>Fath</w:t>
      </w:r>
      <w:proofErr w:type="spellEnd"/>
      <w:r w:rsidRPr="00A94315">
        <w:rPr>
          <w:color w:val="000000"/>
        </w:rPr>
        <w:t xml:space="preserve">, </w:t>
      </w:r>
      <w:proofErr w:type="spellStart"/>
      <w:r w:rsidRPr="00A94315">
        <w:rPr>
          <w:color w:val="000000"/>
        </w:rPr>
        <w:t>B.D</w:t>
      </w:r>
      <w:proofErr w:type="spellEnd"/>
      <w:r w:rsidRPr="00A94315">
        <w:rPr>
          <w:color w:val="000000"/>
        </w:rPr>
        <w:t>. (Eds.), Ecological Engineering. Vol. 3 of Encyclopedia of Ecology. Elsevier, Oxford, pp. 2236-2247.</w:t>
      </w:r>
    </w:p>
    <w:p w14:paraId="0382DD20" w14:textId="77777777" w:rsidR="00CE6F7F" w:rsidRPr="00A94315" w:rsidRDefault="00CE6F7F" w:rsidP="00957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360" w:hanging="360"/>
        <w:rPr>
          <w:color w:val="000000"/>
        </w:rPr>
      </w:pPr>
      <w:r w:rsidRPr="00A94315">
        <w:rPr>
          <w:color w:val="000000"/>
        </w:rPr>
        <w:t xml:space="preserve">Quast, J.C., 1968. Effects of kelp harvesting on the fishes of the kelp beds, in: North, </w:t>
      </w:r>
      <w:proofErr w:type="spellStart"/>
      <w:r w:rsidRPr="00A94315">
        <w:rPr>
          <w:color w:val="000000"/>
        </w:rPr>
        <w:t>W.J</w:t>
      </w:r>
      <w:proofErr w:type="spellEnd"/>
      <w:r w:rsidRPr="00A94315">
        <w:rPr>
          <w:color w:val="000000"/>
        </w:rPr>
        <w:t xml:space="preserve">., </w:t>
      </w:r>
      <w:proofErr w:type="spellStart"/>
      <w:r w:rsidRPr="00A94315">
        <w:rPr>
          <w:color w:val="000000"/>
        </w:rPr>
        <w:t>Hubbs</w:t>
      </w:r>
      <w:proofErr w:type="spellEnd"/>
      <w:r w:rsidRPr="00A94315">
        <w:rPr>
          <w:color w:val="000000"/>
        </w:rPr>
        <w:t xml:space="preserve">, </w:t>
      </w:r>
      <w:proofErr w:type="spellStart"/>
      <w:proofErr w:type="gramStart"/>
      <w:r w:rsidRPr="00A94315">
        <w:rPr>
          <w:color w:val="000000"/>
        </w:rPr>
        <w:t>C.L</w:t>
      </w:r>
      <w:proofErr w:type="spellEnd"/>
      <w:r w:rsidRPr="00A94315">
        <w:rPr>
          <w:color w:val="000000"/>
        </w:rPr>
        <w:t>.</w:t>
      </w:r>
      <w:proofErr w:type="gramEnd"/>
      <w:r w:rsidRPr="00A94315">
        <w:rPr>
          <w:color w:val="000000"/>
        </w:rPr>
        <w:t xml:space="preserve"> (Eds.). Utilization of kelp-bed resources in southern California. State of California Resources Agency and Fish and Game, Sacramento, California, USA.</w:t>
      </w:r>
    </w:p>
    <w:p w14:paraId="4E69C7CD" w14:textId="77777777" w:rsidR="00CE6F7F" w:rsidRPr="00A94315" w:rsidRDefault="00CE6F7F" w:rsidP="0095719A">
      <w:pPr>
        <w:spacing w:after="40"/>
        <w:ind w:left="360" w:hanging="360"/>
        <w:rPr>
          <w:rFonts w:eastAsia="MS Minngs"/>
          <w:color w:val="000000"/>
        </w:rPr>
      </w:pPr>
      <w:r w:rsidRPr="00A94315">
        <w:rPr>
          <w:rFonts w:eastAsia="MS Minngs"/>
          <w:color w:val="000000"/>
        </w:rPr>
        <w:t xml:space="preserve">Ramseyer, </w:t>
      </w:r>
      <w:proofErr w:type="spellStart"/>
      <w:r w:rsidRPr="00A94315">
        <w:rPr>
          <w:rFonts w:eastAsia="MS Minngs"/>
          <w:color w:val="000000"/>
        </w:rPr>
        <w:t>L.J</w:t>
      </w:r>
      <w:proofErr w:type="spellEnd"/>
      <w:r w:rsidRPr="00A94315">
        <w:rPr>
          <w:rFonts w:eastAsia="MS Minngs"/>
          <w:color w:val="000000"/>
        </w:rPr>
        <w:t>., 2002. Predicting Whole-Fish Nitrogen Content from Fish Wet Weight Using Regression Analysis. North American Journal of Aquaculture, 64,195-204.</w:t>
      </w:r>
    </w:p>
    <w:p w14:paraId="4B22EE02" w14:textId="77777777" w:rsidR="00CE6F7F" w:rsidRPr="00A94315" w:rsidRDefault="00CE6F7F" w:rsidP="00957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360" w:hanging="360"/>
        <w:rPr>
          <w:color w:val="000000"/>
        </w:rPr>
      </w:pPr>
      <w:r w:rsidRPr="00A94315">
        <w:rPr>
          <w:color w:val="000000"/>
        </w:rPr>
        <w:t xml:space="preserve">Roesijadi, G., Copping, </w:t>
      </w:r>
      <w:proofErr w:type="spellStart"/>
      <w:r w:rsidRPr="00A94315">
        <w:rPr>
          <w:color w:val="000000"/>
        </w:rPr>
        <w:t>A.E</w:t>
      </w:r>
      <w:proofErr w:type="spellEnd"/>
      <w:r w:rsidRPr="00A94315">
        <w:rPr>
          <w:color w:val="000000"/>
        </w:rPr>
        <w:t xml:space="preserve">., </w:t>
      </w:r>
      <w:proofErr w:type="spellStart"/>
      <w:r w:rsidRPr="00A94315">
        <w:rPr>
          <w:color w:val="000000"/>
        </w:rPr>
        <w:t>Huesemann</w:t>
      </w:r>
      <w:proofErr w:type="spellEnd"/>
      <w:r w:rsidRPr="00A94315">
        <w:rPr>
          <w:color w:val="000000"/>
        </w:rPr>
        <w:t xml:space="preserve">, </w:t>
      </w:r>
      <w:proofErr w:type="spellStart"/>
      <w:r w:rsidRPr="00A94315">
        <w:rPr>
          <w:color w:val="000000"/>
        </w:rPr>
        <w:t>M.H</w:t>
      </w:r>
      <w:proofErr w:type="spellEnd"/>
      <w:r w:rsidRPr="00A94315">
        <w:rPr>
          <w:color w:val="000000"/>
        </w:rPr>
        <w:t xml:space="preserve">., Forster, J., </w:t>
      </w:r>
      <w:proofErr w:type="spellStart"/>
      <w:r w:rsidRPr="00A94315">
        <w:rPr>
          <w:color w:val="000000"/>
        </w:rPr>
        <w:t>Benemann</w:t>
      </w:r>
      <w:proofErr w:type="spellEnd"/>
      <w:r w:rsidRPr="00A94315">
        <w:rPr>
          <w:color w:val="000000"/>
        </w:rPr>
        <w:t xml:space="preserve">, </w:t>
      </w:r>
      <w:proofErr w:type="spellStart"/>
      <w:r w:rsidRPr="00A94315">
        <w:rPr>
          <w:color w:val="000000"/>
        </w:rPr>
        <w:t>J.R</w:t>
      </w:r>
      <w:proofErr w:type="spellEnd"/>
      <w:r w:rsidRPr="00A94315">
        <w:rPr>
          <w:color w:val="000000"/>
        </w:rPr>
        <w:t>., 2008. Techno-Economic Feasibility Analysis of Offshore Seaweed Farming for Bioenergy and Biobased Products, Battelle Pacific Northwest Division Report, Number PNWD-3931.</w:t>
      </w:r>
    </w:p>
    <w:p w14:paraId="161190F4" w14:textId="77777777" w:rsidR="00CE6F7F" w:rsidRPr="00A94315" w:rsidRDefault="00CE6F7F" w:rsidP="00957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360" w:hanging="360"/>
        <w:rPr>
          <w:bCs/>
          <w:color w:val="000000"/>
        </w:rPr>
      </w:pPr>
      <w:r w:rsidRPr="00A94315">
        <w:rPr>
          <w:color w:val="000000"/>
        </w:rPr>
        <w:t xml:space="preserve">Roesijadi, G., Jones, </w:t>
      </w:r>
      <w:proofErr w:type="spellStart"/>
      <w:r w:rsidRPr="00A94315">
        <w:rPr>
          <w:color w:val="000000"/>
        </w:rPr>
        <w:t>S.B</w:t>
      </w:r>
      <w:proofErr w:type="spellEnd"/>
      <w:r w:rsidRPr="00A94315">
        <w:rPr>
          <w:color w:val="000000"/>
        </w:rPr>
        <w:t xml:space="preserve">., Snowden-Swan, </w:t>
      </w:r>
      <w:proofErr w:type="spellStart"/>
      <w:r w:rsidRPr="00A94315">
        <w:rPr>
          <w:color w:val="000000"/>
        </w:rPr>
        <w:t>L.J</w:t>
      </w:r>
      <w:proofErr w:type="spellEnd"/>
      <w:r w:rsidRPr="00A94315">
        <w:rPr>
          <w:color w:val="000000"/>
        </w:rPr>
        <w:t xml:space="preserve">., Zhu, Y., 2010. </w:t>
      </w:r>
      <w:r w:rsidRPr="00A94315">
        <w:rPr>
          <w:bCs/>
          <w:color w:val="000000"/>
        </w:rPr>
        <w:t xml:space="preserve">Macroalgae as a Biomass Feedstock: A Preliminary Analysis, PNNL-19944. </w:t>
      </w:r>
    </w:p>
    <w:p w14:paraId="3AF2AC65" w14:textId="77777777" w:rsidR="00CE6F7F" w:rsidRPr="00A94315" w:rsidRDefault="00CE6F7F" w:rsidP="0095719A">
      <w:pPr>
        <w:tabs>
          <w:tab w:val="left" w:pos="-90"/>
        </w:tabs>
        <w:spacing w:after="40"/>
        <w:ind w:left="360" w:hanging="360"/>
        <w:rPr>
          <w:color w:val="000000"/>
        </w:rPr>
      </w:pPr>
      <w:r w:rsidRPr="00A94315">
        <w:rPr>
          <w:bCs/>
          <w:color w:val="000000"/>
        </w:rPr>
        <w:t xml:space="preserve">Rowe, </w:t>
      </w:r>
      <w:proofErr w:type="spellStart"/>
      <w:r w:rsidRPr="00A94315">
        <w:rPr>
          <w:bCs/>
          <w:color w:val="000000"/>
        </w:rPr>
        <w:t>R.K</w:t>
      </w:r>
      <w:proofErr w:type="spellEnd"/>
      <w:r w:rsidRPr="00A94315">
        <w:rPr>
          <w:bCs/>
          <w:color w:val="000000"/>
        </w:rPr>
        <w:t xml:space="preserve">., Islam, </w:t>
      </w:r>
      <w:proofErr w:type="spellStart"/>
      <w:r w:rsidRPr="00A94315">
        <w:rPr>
          <w:bCs/>
          <w:color w:val="000000"/>
        </w:rPr>
        <w:t>M.Z</w:t>
      </w:r>
      <w:proofErr w:type="spellEnd"/>
      <w:r w:rsidRPr="00A94315">
        <w:rPr>
          <w:bCs/>
          <w:color w:val="000000"/>
        </w:rPr>
        <w:t xml:space="preserve">., </w:t>
      </w:r>
      <w:r w:rsidRPr="00A94315">
        <w:t>2009</w:t>
      </w:r>
      <w:r w:rsidRPr="00A94315">
        <w:rPr>
          <w:bCs/>
          <w:color w:val="000000"/>
        </w:rPr>
        <w:t xml:space="preserve">. Impact of landfill liner time–temperature history on the service life of HDPE geomembranes. </w:t>
      </w:r>
      <w:r w:rsidRPr="00A94315">
        <w:t xml:space="preserve">Waste </w:t>
      </w:r>
      <w:proofErr w:type="spellStart"/>
      <w:r w:rsidRPr="00A94315">
        <w:t>Manag</w:t>
      </w:r>
      <w:proofErr w:type="spellEnd"/>
      <w:r w:rsidRPr="00A94315">
        <w:t>. 29, 2689-2699.</w:t>
      </w:r>
    </w:p>
    <w:p w14:paraId="0ACC6AAC" w14:textId="77777777" w:rsidR="00CE6F7F" w:rsidRPr="00A94315" w:rsidRDefault="00CE6F7F" w:rsidP="0095719A">
      <w:pPr>
        <w:tabs>
          <w:tab w:val="left" w:pos="-90"/>
        </w:tabs>
        <w:spacing w:after="40"/>
        <w:ind w:left="360" w:hanging="360"/>
        <w:rPr>
          <w:color w:val="101010"/>
        </w:rPr>
      </w:pPr>
      <w:r w:rsidRPr="00A94315">
        <w:rPr>
          <w:color w:val="101010"/>
        </w:rPr>
        <w:t xml:space="preserve">Sabine, </w:t>
      </w:r>
      <w:proofErr w:type="spellStart"/>
      <w:r w:rsidRPr="00A94315">
        <w:rPr>
          <w:color w:val="101010"/>
        </w:rPr>
        <w:t>C.L</w:t>
      </w:r>
      <w:proofErr w:type="spellEnd"/>
      <w:r w:rsidRPr="00A94315">
        <w:rPr>
          <w:color w:val="101010"/>
        </w:rPr>
        <w:t xml:space="preserve">., Feely, R.A., Gruber, N., Key, </w:t>
      </w:r>
      <w:proofErr w:type="spellStart"/>
      <w:r w:rsidRPr="00A94315">
        <w:rPr>
          <w:color w:val="101010"/>
        </w:rPr>
        <w:t>R.M</w:t>
      </w:r>
      <w:proofErr w:type="spellEnd"/>
      <w:r w:rsidRPr="00A94315">
        <w:rPr>
          <w:color w:val="101010"/>
        </w:rPr>
        <w:t xml:space="preserve">., Lee, K., </w:t>
      </w:r>
      <w:proofErr w:type="spellStart"/>
      <w:r w:rsidRPr="00A94315">
        <w:rPr>
          <w:color w:val="101010"/>
        </w:rPr>
        <w:t>Bullister</w:t>
      </w:r>
      <w:proofErr w:type="spellEnd"/>
      <w:r w:rsidRPr="00A94315">
        <w:rPr>
          <w:color w:val="101010"/>
        </w:rPr>
        <w:t xml:space="preserve">, </w:t>
      </w:r>
      <w:proofErr w:type="spellStart"/>
      <w:r w:rsidRPr="00A94315">
        <w:rPr>
          <w:color w:val="101010"/>
        </w:rPr>
        <w:t>J.L</w:t>
      </w:r>
      <w:proofErr w:type="spellEnd"/>
      <w:r w:rsidRPr="00A94315">
        <w:rPr>
          <w:color w:val="101010"/>
        </w:rPr>
        <w:t xml:space="preserve">., </w:t>
      </w:r>
      <w:proofErr w:type="spellStart"/>
      <w:r w:rsidRPr="00A94315">
        <w:rPr>
          <w:color w:val="101010"/>
        </w:rPr>
        <w:t>Wanninkhof</w:t>
      </w:r>
      <w:proofErr w:type="spellEnd"/>
      <w:r w:rsidRPr="00A94315">
        <w:rPr>
          <w:color w:val="101010"/>
        </w:rPr>
        <w:t xml:space="preserve">, R., Wong, </w:t>
      </w:r>
      <w:proofErr w:type="spellStart"/>
      <w:r w:rsidRPr="00A94315">
        <w:rPr>
          <w:color w:val="101010"/>
        </w:rPr>
        <w:t>C.S</w:t>
      </w:r>
      <w:proofErr w:type="spellEnd"/>
      <w:r w:rsidRPr="00A94315">
        <w:rPr>
          <w:color w:val="101010"/>
        </w:rPr>
        <w:t xml:space="preserve">., Wallace, </w:t>
      </w:r>
      <w:proofErr w:type="spellStart"/>
      <w:r w:rsidRPr="00A94315">
        <w:rPr>
          <w:color w:val="101010"/>
        </w:rPr>
        <w:t>D.W.R</w:t>
      </w:r>
      <w:proofErr w:type="spellEnd"/>
      <w:r w:rsidRPr="00A94315">
        <w:rPr>
          <w:color w:val="101010"/>
        </w:rPr>
        <w:t xml:space="preserve">., </w:t>
      </w:r>
      <w:proofErr w:type="spellStart"/>
      <w:r w:rsidRPr="00A94315">
        <w:rPr>
          <w:color w:val="101010"/>
        </w:rPr>
        <w:t>Tilbrook</w:t>
      </w:r>
      <w:proofErr w:type="spellEnd"/>
      <w:r w:rsidRPr="00A94315">
        <w:rPr>
          <w:color w:val="101010"/>
        </w:rPr>
        <w:t xml:space="preserve">, B., </w:t>
      </w:r>
      <w:proofErr w:type="spellStart"/>
      <w:r w:rsidRPr="00A94315">
        <w:rPr>
          <w:color w:val="101010"/>
        </w:rPr>
        <w:t>Millero</w:t>
      </w:r>
      <w:proofErr w:type="spellEnd"/>
      <w:r w:rsidRPr="00A94315">
        <w:rPr>
          <w:color w:val="101010"/>
        </w:rPr>
        <w:t xml:space="preserve">, </w:t>
      </w:r>
      <w:proofErr w:type="spellStart"/>
      <w:r w:rsidRPr="00A94315">
        <w:rPr>
          <w:color w:val="101010"/>
        </w:rPr>
        <w:t>F.J</w:t>
      </w:r>
      <w:proofErr w:type="spellEnd"/>
      <w:r w:rsidRPr="00A94315">
        <w:rPr>
          <w:color w:val="101010"/>
        </w:rPr>
        <w:t xml:space="preserve">., </w:t>
      </w:r>
      <w:proofErr w:type="spellStart"/>
      <w:r w:rsidRPr="00A94315">
        <w:rPr>
          <w:color w:val="101010"/>
        </w:rPr>
        <w:t>Peng</w:t>
      </w:r>
      <w:proofErr w:type="spellEnd"/>
      <w:r w:rsidRPr="00A94315">
        <w:rPr>
          <w:color w:val="101010"/>
        </w:rPr>
        <w:t xml:space="preserve">, </w:t>
      </w:r>
      <w:proofErr w:type="spellStart"/>
      <w:r w:rsidRPr="00A94315">
        <w:rPr>
          <w:color w:val="101010"/>
        </w:rPr>
        <w:t>T.H</w:t>
      </w:r>
      <w:proofErr w:type="spellEnd"/>
      <w:r w:rsidRPr="00A94315">
        <w:rPr>
          <w:color w:val="101010"/>
        </w:rPr>
        <w:t xml:space="preserve">., </w:t>
      </w:r>
      <w:proofErr w:type="spellStart"/>
      <w:r w:rsidRPr="00A94315">
        <w:rPr>
          <w:color w:val="101010"/>
        </w:rPr>
        <w:t>Kozyr</w:t>
      </w:r>
      <w:proofErr w:type="spellEnd"/>
      <w:r w:rsidRPr="00A94315">
        <w:rPr>
          <w:color w:val="101010"/>
        </w:rPr>
        <w:t>, A., Ono, T., Rios, A.F., 2004. The oceanic sink for anthropogenic CO2. Science 305, 367–371.</w:t>
      </w:r>
    </w:p>
    <w:p w14:paraId="5F250300" w14:textId="77777777" w:rsidR="00CE6F7F" w:rsidRPr="00A94315" w:rsidRDefault="00CE6F7F" w:rsidP="0095719A">
      <w:pPr>
        <w:tabs>
          <w:tab w:val="left" w:pos="-90"/>
        </w:tabs>
        <w:spacing w:after="40"/>
        <w:ind w:left="360" w:hanging="360"/>
        <w:rPr>
          <w:color w:val="000000"/>
        </w:rPr>
      </w:pPr>
      <w:r w:rsidRPr="00A94315">
        <w:rPr>
          <w:color w:val="000000"/>
        </w:rPr>
        <w:t>U.S. Energy Information Administration 2011. International Energy Outlook 2011. (</w:t>
      </w:r>
      <w:proofErr w:type="gramStart"/>
      <w:r w:rsidRPr="00A94315">
        <w:rPr>
          <w:color w:val="000000"/>
        </w:rPr>
        <w:t>data</w:t>
      </w:r>
      <w:proofErr w:type="gramEnd"/>
      <w:r w:rsidRPr="00A94315">
        <w:rPr>
          <w:color w:val="000000"/>
        </w:rPr>
        <w:t xml:space="preserve"> from: http://www.eia.gov/forecasts/ieo/world.cfm and http://www.eia.gov/forecasts/ieo/emissions.cfm)</w:t>
      </w:r>
    </w:p>
    <w:p w14:paraId="2047E0BF" w14:textId="172716F5" w:rsidR="00CE6F7F" w:rsidRPr="006356A4" w:rsidRDefault="00CE6F7F" w:rsidP="0095719A">
      <w:pPr>
        <w:spacing w:after="40"/>
        <w:ind w:left="360" w:hanging="360"/>
        <w:rPr>
          <w:rFonts w:eastAsia="MS Minngs"/>
          <w:color w:val="000000"/>
        </w:rPr>
      </w:pPr>
      <w:r w:rsidRPr="00A94315">
        <w:rPr>
          <w:rFonts w:eastAsia="MS Minngs"/>
          <w:color w:val="000000"/>
        </w:rPr>
        <w:t xml:space="preserve">Van der Meer, B., 2005. </w:t>
      </w:r>
      <w:r w:rsidR="00EF665D" w:rsidRPr="00A94315">
        <w:rPr>
          <w:rFonts w:eastAsia="MS Minngs"/>
          <w:color w:val="000000"/>
        </w:rPr>
        <w:t>Carbon dioxide s</w:t>
      </w:r>
      <w:r w:rsidRPr="00A94315">
        <w:rPr>
          <w:rFonts w:eastAsia="MS Minngs"/>
          <w:color w:val="000000"/>
        </w:rPr>
        <w:t>t</w:t>
      </w:r>
      <w:r w:rsidR="00EF665D" w:rsidRPr="00A94315">
        <w:rPr>
          <w:rFonts w:eastAsia="MS Minngs"/>
          <w:color w:val="000000"/>
        </w:rPr>
        <w:t>orage in natural gas r</w:t>
      </w:r>
      <w:r w:rsidRPr="00A94315">
        <w:rPr>
          <w:rFonts w:eastAsia="MS Minngs"/>
          <w:color w:val="000000"/>
        </w:rPr>
        <w:t>eservoirs. Oil Gas Sci. Technol. 60, 527-536.</w:t>
      </w:r>
      <w:r w:rsidRPr="00034C0D">
        <w:rPr>
          <w:rFonts w:eastAsia="MS Minngs"/>
          <w:color w:val="000000"/>
        </w:rPr>
        <w:t xml:space="preserve"> </w:t>
      </w:r>
    </w:p>
    <w:sectPr w:rsidR="00CE6F7F" w:rsidRPr="006356A4" w:rsidSect="00616D08">
      <w:footerReference w:type="default" r:id="rId18"/>
      <w:pgSz w:w="12240" w:h="15840"/>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3CC8D" w14:textId="77777777" w:rsidR="00616D08" w:rsidRDefault="00616D08" w:rsidP="00F6073D">
      <w:r>
        <w:separator/>
      </w:r>
    </w:p>
  </w:endnote>
  <w:endnote w:type="continuationSeparator" w:id="0">
    <w:p w14:paraId="69D0058D" w14:textId="77777777" w:rsidR="00616D08" w:rsidRDefault="00616D08" w:rsidP="00F6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ngs">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88330" w14:textId="7FAFE268" w:rsidR="00616D08" w:rsidRPr="0006146F" w:rsidRDefault="00616D08" w:rsidP="0006146F">
    <w:pPr>
      <w:pStyle w:val="Footer"/>
      <w:jc w:val="center"/>
      <w:rPr>
        <w:sz w:val="22"/>
        <w:szCs w:val="22"/>
      </w:rPr>
    </w:pPr>
    <w:r w:rsidRPr="0006146F">
      <w:rPr>
        <w:sz w:val="22"/>
        <w:szCs w:val="22"/>
      </w:rPr>
      <w:t>Authors</w:t>
    </w:r>
    <w:r>
      <w:rPr>
        <w:sz w:val="22"/>
        <w:szCs w:val="22"/>
      </w:rPr>
      <w:t>’</w:t>
    </w:r>
    <w:r w:rsidRPr="0006146F">
      <w:rPr>
        <w:sz w:val="22"/>
        <w:szCs w:val="22"/>
      </w:rPr>
      <w:t xml:space="preserve"> version of peer-reviewed article</w:t>
    </w:r>
    <w:r>
      <w:rPr>
        <w:sz w:val="22"/>
        <w:szCs w:val="22"/>
      </w:rPr>
      <w:t>:</w:t>
    </w:r>
    <w:r w:rsidRPr="0006146F">
      <w:rPr>
        <w:sz w:val="22"/>
        <w:szCs w:val="22"/>
      </w:rPr>
      <w:t xml:space="preserve"> available at </w:t>
    </w:r>
    <w:r w:rsidRPr="0006146F">
      <w:rPr>
        <w:color w:val="000B50"/>
        <w:sz w:val="22"/>
        <w:szCs w:val="22"/>
      </w:rPr>
      <w:t>http://dx.doi.org/10.1016/j.psep.2012.10.008</w:t>
    </w:r>
    <w:r w:rsidRPr="0006146F">
      <w:rPr>
        <w:sz w:val="22"/>
        <w:szCs w:val="22"/>
      </w:rPr>
      <w:tab/>
    </w:r>
    <w:r w:rsidRPr="0006146F">
      <w:rPr>
        <w:rStyle w:val="PageNumber"/>
        <w:sz w:val="22"/>
        <w:szCs w:val="22"/>
      </w:rPr>
      <w:fldChar w:fldCharType="begin"/>
    </w:r>
    <w:r w:rsidRPr="0006146F">
      <w:rPr>
        <w:rStyle w:val="PageNumber"/>
        <w:sz w:val="22"/>
        <w:szCs w:val="22"/>
      </w:rPr>
      <w:instrText xml:space="preserve"> PAGE </w:instrText>
    </w:r>
    <w:r w:rsidRPr="0006146F">
      <w:rPr>
        <w:rStyle w:val="PageNumber"/>
        <w:sz w:val="22"/>
        <w:szCs w:val="22"/>
      </w:rPr>
      <w:fldChar w:fldCharType="separate"/>
    </w:r>
    <w:r w:rsidR="007A32D1">
      <w:rPr>
        <w:rStyle w:val="PageNumber"/>
        <w:noProof/>
        <w:sz w:val="22"/>
        <w:szCs w:val="22"/>
      </w:rPr>
      <w:t>13</w:t>
    </w:r>
    <w:r w:rsidRPr="0006146F">
      <w:rPr>
        <w:rStyle w:val="PageNumber"/>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270F4" w14:textId="77777777" w:rsidR="00616D08" w:rsidRDefault="00616D08" w:rsidP="00F6073D">
      <w:r>
        <w:separator/>
      </w:r>
    </w:p>
  </w:footnote>
  <w:footnote w:type="continuationSeparator" w:id="0">
    <w:p w14:paraId="04347D8C" w14:textId="77777777" w:rsidR="00616D08" w:rsidRDefault="00616D08" w:rsidP="00F6073D">
      <w:r>
        <w:continuationSeparator/>
      </w:r>
    </w:p>
  </w:footnote>
  <w:footnote w:id="1">
    <w:p w14:paraId="3F805841" w14:textId="77777777" w:rsidR="00616D08" w:rsidRDefault="00616D08" w:rsidP="007A20BA">
      <w:pPr>
        <w:pStyle w:val="FootnoteText"/>
      </w:pPr>
      <w:r>
        <w:rPr>
          <w:rStyle w:val="FootnoteReference"/>
        </w:rPr>
        <w:footnoteRef/>
      </w:r>
      <w:r>
        <w:t xml:space="preserve">  Abbreviations appearing later: </w:t>
      </w:r>
    </w:p>
    <w:p w14:paraId="39C68E1B" w14:textId="77777777" w:rsidR="00616D08" w:rsidRDefault="00616D08" w:rsidP="007A20BA">
      <w:pPr>
        <w:pStyle w:val="FootnoteText"/>
        <w:numPr>
          <w:ilvl w:val="0"/>
          <w:numId w:val="17"/>
        </w:numPr>
      </w:pPr>
      <w:r>
        <w:t xml:space="preserve">OMA is Ocean </w:t>
      </w:r>
      <w:r>
        <w:rPr>
          <w:color w:val="101010"/>
        </w:rPr>
        <w:t xml:space="preserve">Macroalgal </w:t>
      </w:r>
      <w:r>
        <w:t xml:space="preserve">Afforestation, which is synonymous with </w:t>
      </w:r>
      <w:r>
        <w:rPr>
          <w:color w:val="101010"/>
        </w:rPr>
        <w:t>“Ocean Afforestation” in this paper.</w:t>
      </w:r>
    </w:p>
    <w:p w14:paraId="11466925" w14:textId="77777777" w:rsidR="00616D08" w:rsidRDefault="00616D08" w:rsidP="007A20BA">
      <w:pPr>
        <w:pStyle w:val="FootnoteText"/>
        <w:numPr>
          <w:ilvl w:val="0"/>
          <w:numId w:val="17"/>
        </w:numPr>
      </w:pPr>
      <w:proofErr w:type="gramStart"/>
      <w:r>
        <w:t>bio</w:t>
      </w:r>
      <w:proofErr w:type="gramEnd"/>
      <w:r>
        <w:t>-CO</w:t>
      </w:r>
      <w:r w:rsidRPr="00AD74FC">
        <w:rPr>
          <w:vertAlign w:val="subscript"/>
        </w:rPr>
        <w:t>2</w:t>
      </w:r>
      <w:r>
        <w:t xml:space="preserve"> is carbon dioxide when produced by anaerobic digestion; and</w:t>
      </w:r>
    </w:p>
    <w:p w14:paraId="085F0538" w14:textId="210C4E3E" w:rsidR="00616D08" w:rsidRDefault="00616D08" w:rsidP="00616D08">
      <w:pPr>
        <w:pStyle w:val="FootnoteText"/>
        <w:numPr>
          <w:ilvl w:val="0"/>
          <w:numId w:val="17"/>
        </w:numPr>
      </w:pPr>
      <w:proofErr w:type="gramStart"/>
      <w:r>
        <w:t>combustion</w:t>
      </w:r>
      <w:proofErr w:type="gramEnd"/>
      <w:r>
        <w:t>-CO</w:t>
      </w:r>
      <w:r w:rsidRPr="00AD74FC">
        <w:rPr>
          <w:vertAlign w:val="subscript"/>
        </w:rPr>
        <w:t>2</w:t>
      </w:r>
      <w:r>
        <w:t xml:space="preserve"> is carbon dioxide when produced by OA’s bio-CH</w:t>
      </w:r>
      <w:r>
        <w:rPr>
          <w:vertAlign w:val="subscript"/>
        </w:rPr>
        <w:t>4</w:t>
      </w:r>
      <w:r w:rsidRPr="00AD74FC">
        <w:t xml:space="preserve"> </w:t>
      </w:r>
      <w:r>
        <w:t xml:space="preserve">(methane) </w:t>
      </w:r>
      <w:r w:rsidRPr="00AD74FC">
        <w:t>combustion.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48CB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D5CE1E0"/>
    <w:lvl w:ilvl="0">
      <w:start w:val="1"/>
      <w:numFmt w:val="bullet"/>
      <w:lvlText w:val=""/>
      <w:lvlJc w:val="left"/>
      <w:pPr>
        <w:tabs>
          <w:tab w:val="num" w:pos="360"/>
        </w:tabs>
        <w:ind w:left="360" w:hanging="360"/>
      </w:pPr>
      <w:rPr>
        <w:rFonts w:ascii="Symbol" w:hAnsi="Symbol" w:hint="default"/>
      </w:rPr>
    </w:lvl>
  </w:abstractNum>
  <w:abstractNum w:abstractNumId="2">
    <w:nsid w:val="15480EA8"/>
    <w:multiLevelType w:val="hybridMultilevel"/>
    <w:tmpl w:val="CBEEF2F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CD97647"/>
    <w:multiLevelType w:val="hybridMultilevel"/>
    <w:tmpl w:val="B44091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D44033B"/>
    <w:multiLevelType w:val="hybridMultilevel"/>
    <w:tmpl w:val="21F0515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43233B"/>
    <w:multiLevelType w:val="hybridMultilevel"/>
    <w:tmpl w:val="88C68E2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0F6EC1"/>
    <w:multiLevelType w:val="hybridMultilevel"/>
    <w:tmpl w:val="4C74862C"/>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4D331C"/>
    <w:multiLevelType w:val="hybridMultilevel"/>
    <w:tmpl w:val="FBC8BD0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4FA83800"/>
    <w:multiLevelType w:val="hybridMultilevel"/>
    <w:tmpl w:val="C9DCB596"/>
    <w:lvl w:ilvl="0" w:tplc="9CFAC9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D0560AF"/>
    <w:multiLevelType w:val="hybridMultilevel"/>
    <w:tmpl w:val="8C7A947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9651B88"/>
    <w:multiLevelType w:val="hybridMultilevel"/>
    <w:tmpl w:val="C682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69123B"/>
    <w:multiLevelType w:val="hybridMultilevel"/>
    <w:tmpl w:val="1CF67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4F5E63"/>
    <w:multiLevelType w:val="hybridMultilevel"/>
    <w:tmpl w:val="B1A20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7"/>
  </w:num>
  <w:num w:numId="12">
    <w:abstractNumId w:val="10"/>
  </w:num>
  <w:num w:numId="13">
    <w:abstractNumId w:val="12"/>
  </w:num>
  <w:num w:numId="14">
    <w:abstractNumId w:val="5"/>
  </w:num>
  <w:num w:numId="15">
    <w:abstractNumId w:val="2"/>
  </w:num>
  <w:num w:numId="16">
    <w:abstractNumId w:val="0"/>
  </w:num>
  <w:num w:numId="17">
    <w:abstractNumId w:val="11"/>
  </w:num>
  <w:num w:numId="18">
    <w:abstractNumId w:val="1"/>
  </w:num>
  <w:num w:numId="19">
    <w:abstractNumId w:val="9"/>
  </w:num>
  <w:num w:numId="20">
    <w:abstractNumId w:val="3"/>
  </w:num>
  <w:num w:numId="21">
    <w:abstractNumId w:val="6"/>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FD"/>
    <w:rsid w:val="00000435"/>
    <w:rsid w:val="0000088C"/>
    <w:rsid w:val="00001A4D"/>
    <w:rsid w:val="00003D6A"/>
    <w:rsid w:val="000044BF"/>
    <w:rsid w:val="00004970"/>
    <w:rsid w:val="0000796E"/>
    <w:rsid w:val="000132E2"/>
    <w:rsid w:val="00015671"/>
    <w:rsid w:val="0001567C"/>
    <w:rsid w:val="00022349"/>
    <w:rsid w:val="0002426B"/>
    <w:rsid w:val="00024DEF"/>
    <w:rsid w:val="00025090"/>
    <w:rsid w:val="000301BC"/>
    <w:rsid w:val="000323A7"/>
    <w:rsid w:val="0003327E"/>
    <w:rsid w:val="00033FC5"/>
    <w:rsid w:val="00034C0D"/>
    <w:rsid w:val="00035974"/>
    <w:rsid w:val="00035CD3"/>
    <w:rsid w:val="00035E1F"/>
    <w:rsid w:val="000376E1"/>
    <w:rsid w:val="00040DEB"/>
    <w:rsid w:val="00047270"/>
    <w:rsid w:val="00052794"/>
    <w:rsid w:val="00055854"/>
    <w:rsid w:val="00057E2F"/>
    <w:rsid w:val="0006032F"/>
    <w:rsid w:val="0006146F"/>
    <w:rsid w:val="00061F15"/>
    <w:rsid w:val="000623FF"/>
    <w:rsid w:val="00063AF6"/>
    <w:rsid w:val="00065DDB"/>
    <w:rsid w:val="000676BB"/>
    <w:rsid w:val="000743FA"/>
    <w:rsid w:val="00075B38"/>
    <w:rsid w:val="000762DC"/>
    <w:rsid w:val="00080E92"/>
    <w:rsid w:val="00083DF7"/>
    <w:rsid w:val="000843CE"/>
    <w:rsid w:val="00086762"/>
    <w:rsid w:val="000903CC"/>
    <w:rsid w:val="00090686"/>
    <w:rsid w:val="00091C47"/>
    <w:rsid w:val="00092355"/>
    <w:rsid w:val="00094908"/>
    <w:rsid w:val="00094B20"/>
    <w:rsid w:val="000953C3"/>
    <w:rsid w:val="00096357"/>
    <w:rsid w:val="00096E64"/>
    <w:rsid w:val="000A03CA"/>
    <w:rsid w:val="000A0423"/>
    <w:rsid w:val="000A26C6"/>
    <w:rsid w:val="000A7E52"/>
    <w:rsid w:val="000B0B21"/>
    <w:rsid w:val="000B0B28"/>
    <w:rsid w:val="000B1E98"/>
    <w:rsid w:val="000B20CC"/>
    <w:rsid w:val="000B3534"/>
    <w:rsid w:val="000B5DEA"/>
    <w:rsid w:val="000B6BFD"/>
    <w:rsid w:val="000B7A69"/>
    <w:rsid w:val="000C1483"/>
    <w:rsid w:val="000D1665"/>
    <w:rsid w:val="000D2B2C"/>
    <w:rsid w:val="000D4B21"/>
    <w:rsid w:val="000D5764"/>
    <w:rsid w:val="000E0C88"/>
    <w:rsid w:val="000E212F"/>
    <w:rsid w:val="000E23C2"/>
    <w:rsid w:val="000E603A"/>
    <w:rsid w:val="000E7238"/>
    <w:rsid w:val="000E7AA1"/>
    <w:rsid w:val="000F0DF7"/>
    <w:rsid w:val="000F1DBD"/>
    <w:rsid w:val="000F1DFE"/>
    <w:rsid w:val="000F2049"/>
    <w:rsid w:val="000F2716"/>
    <w:rsid w:val="000F5424"/>
    <w:rsid w:val="000F6EBA"/>
    <w:rsid w:val="000F6F00"/>
    <w:rsid w:val="000F7405"/>
    <w:rsid w:val="001012CE"/>
    <w:rsid w:val="00102073"/>
    <w:rsid w:val="00102492"/>
    <w:rsid w:val="00102FB0"/>
    <w:rsid w:val="00105DBA"/>
    <w:rsid w:val="00106A1D"/>
    <w:rsid w:val="001074DD"/>
    <w:rsid w:val="00110663"/>
    <w:rsid w:val="0011291E"/>
    <w:rsid w:val="00114325"/>
    <w:rsid w:val="0011500D"/>
    <w:rsid w:val="00120C02"/>
    <w:rsid w:val="00121204"/>
    <w:rsid w:val="001214BF"/>
    <w:rsid w:val="00121F57"/>
    <w:rsid w:val="0012219D"/>
    <w:rsid w:val="00125764"/>
    <w:rsid w:val="00125E01"/>
    <w:rsid w:val="00126924"/>
    <w:rsid w:val="00126992"/>
    <w:rsid w:val="00126C77"/>
    <w:rsid w:val="00126D66"/>
    <w:rsid w:val="00127C89"/>
    <w:rsid w:val="00134BA2"/>
    <w:rsid w:val="0013619B"/>
    <w:rsid w:val="00137DE7"/>
    <w:rsid w:val="001400A1"/>
    <w:rsid w:val="0014090B"/>
    <w:rsid w:val="00147FFE"/>
    <w:rsid w:val="001531CB"/>
    <w:rsid w:val="0015574C"/>
    <w:rsid w:val="0016196E"/>
    <w:rsid w:val="001622A0"/>
    <w:rsid w:val="00166DA9"/>
    <w:rsid w:val="001670CA"/>
    <w:rsid w:val="00167850"/>
    <w:rsid w:val="001706D5"/>
    <w:rsid w:val="00170A3E"/>
    <w:rsid w:val="00172F05"/>
    <w:rsid w:val="0018054F"/>
    <w:rsid w:val="00181C04"/>
    <w:rsid w:val="00182B84"/>
    <w:rsid w:val="00183FA5"/>
    <w:rsid w:val="00184925"/>
    <w:rsid w:val="00184B6A"/>
    <w:rsid w:val="00186421"/>
    <w:rsid w:val="001876A4"/>
    <w:rsid w:val="00194470"/>
    <w:rsid w:val="00195798"/>
    <w:rsid w:val="0019623D"/>
    <w:rsid w:val="001A22B0"/>
    <w:rsid w:val="001A2B1A"/>
    <w:rsid w:val="001A3ED3"/>
    <w:rsid w:val="001A7C0A"/>
    <w:rsid w:val="001B0909"/>
    <w:rsid w:val="001B0EF6"/>
    <w:rsid w:val="001B425E"/>
    <w:rsid w:val="001B6410"/>
    <w:rsid w:val="001B6F8C"/>
    <w:rsid w:val="001C067F"/>
    <w:rsid w:val="001C18BC"/>
    <w:rsid w:val="001C2896"/>
    <w:rsid w:val="001D400C"/>
    <w:rsid w:val="001D4FDC"/>
    <w:rsid w:val="001D5328"/>
    <w:rsid w:val="001D61EC"/>
    <w:rsid w:val="001D6394"/>
    <w:rsid w:val="001D6646"/>
    <w:rsid w:val="001E0145"/>
    <w:rsid w:val="001E0389"/>
    <w:rsid w:val="001E0C5A"/>
    <w:rsid w:val="001E2B1C"/>
    <w:rsid w:val="001F15C5"/>
    <w:rsid w:val="001F16A2"/>
    <w:rsid w:val="001F1E1C"/>
    <w:rsid w:val="001F28D9"/>
    <w:rsid w:val="001F39AE"/>
    <w:rsid w:val="001F3B49"/>
    <w:rsid w:val="001F7C28"/>
    <w:rsid w:val="002017A7"/>
    <w:rsid w:val="00202784"/>
    <w:rsid w:val="00202F4F"/>
    <w:rsid w:val="002047B7"/>
    <w:rsid w:val="00205B27"/>
    <w:rsid w:val="00206B0D"/>
    <w:rsid w:val="00212336"/>
    <w:rsid w:val="00212382"/>
    <w:rsid w:val="00212B4C"/>
    <w:rsid w:val="0021419A"/>
    <w:rsid w:val="002150EB"/>
    <w:rsid w:val="00215738"/>
    <w:rsid w:val="0021587C"/>
    <w:rsid w:val="00215A4D"/>
    <w:rsid w:val="00215E20"/>
    <w:rsid w:val="002164D6"/>
    <w:rsid w:val="002168D4"/>
    <w:rsid w:val="00221528"/>
    <w:rsid w:val="00221BC6"/>
    <w:rsid w:val="00221D2E"/>
    <w:rsid w:val="002226E2"/>
    <w:rsid w:val="0022399D"/>
    <w:rsid w:val="00226432"/>
    <w:rsid w:val="002276AD"/>
    <w:rsid w:val="002314C1"/>
    <w:rsid w:val="00231501"/>
    <w:rsid w:val="00231D67"/>
    <w:rsid w:val="00231FDA"/>
    <w:rsid w:val="00232897"/>
    <w:rsid w:val="00233A7E"/>
    <w:rsid w:val="00235ECD"/>
    <w:rsid w:val="00236E1F"/>
    <w:rsid w:val="00240E58"/>
    <w:rsid w:val="002414D5"/>
    <w:rsid w:val="0024546E"/>
    <w:rsid w:val="00246092"/>
    <w:rsid w:val="002479E5"/>
    <w:rsid w:val="00254798"/>
    <w:rsid w:val="00255F8A"/>
    <w:rsid w:val="00256C88"/>
    <w:rsid w:val="002578DD"/>
    <w:rsid w:val="00260376"/>
    <w:rsid w:val="00260518"/>
    <w:rsid w:val="002611C8"/>
    <w:rsid w:val="00272E3D"/>
    <w:rsid w:val="00274D8B"/>
    <w:rsid w:val="00274DCB"/>
    <w:rsid w:val="00275845"/>
    <w:rsid w:val="00276A56"/>
    <w:rsid w:val="00281C82"/>
    <w:rsid w:val="00282FF2"/>
    <w:rsid w:val="00283B72"/>
    <w:rsid w:val="00284A56"/>
    <w:rsid w:val="0028529A"/>
    <w:rsid w:val="00286382"/>
    <w:rsid w:val="002863E6"/>
    <w:rsid w:val="00291A79"/>
    <w:rsid w:val="002929E8"/>
    <w:rsid w:val="00294AA8"/>
    <w:rsid w:val="00296F9E"/>
    <w:rsid w:val="00297ED3"/>
    <w:rsid w:val="002A07BD"/>
    <w:rsid w:val="002A07C2"/>
    <w:rsid w:val="002A2207"/>
    <w:rsid w:val="002A3065"/>
    <w:rsid w:val="002A4663"/>
    <w:rsid w:val="002A6EFA"/>
    <w:rsid w:val="002B08E0"/>
    <w:rsid w:val="002B15A0"/>
    <w:rsid w:val="002B3D6A"/>
    <w:rsid w:val="002B3E1B"/>
    <w:rsid w:val="002B6940"/>
    <w:rsid w:val="002B76F8"/>
    <w:rsid w:val="002B77EA"/>
    <w:rsid w:val="002C163F"/>
    <w:rsid w:val="002C2580"/>
    <w:rsid w:val="002C35A8"/>
    <w:rsid w:val="002C4600"/>
    <w:rsid w:val="002C49E4"/>
    <w:rsid w:val="002C522B"/>
    <w:rsid w:val="002C5338"/>
    <w:rsid w:val="002C6002"/>
    <w:rsid w:val="002C65E1"/>
    <w:rsid w:val="002C71C9"/>
    <w:rsid w:val="002D02BE"/>
    <w:rsid w:val="002D1C8E"/>
    <w:rsid w:val="002D2DA5"/>
    <w:rsid w:val="002D36F8"/>
    <w:rsid w:val="002E08A1"/>
    <w:rsid w:val="002E0AB4"/>
    <w:rsid w:val="002E1E15"/>
    <w:rsid w:val="002E2171"/>
    <w:rsid w:val="002E27F6"/>
    <w:rsid w:val="002E526F"/>
    <w:rsid w:val="002F042F"/>
    <w:rsid w:val="002F1066"/>
    <w:rsid w:val="002F1D60"/>
    <w:rsid w:val="002F204B"/>
    <w:rsid w:val="002F26DE"/>
    <w:rsid w:val="002F2960"/>
    <w:rsid w:val="002F5A78"/>
    <w:rsid w:val="00300590"/>
    <w:rsid w:val="0030075E"/>
    <w:rsid w:val="003032CD"/>
    <w:rsid w:val="00303B9F"/>
    <w:rsid w:val="00303D9B"/>
    <w:rsid w:val="00303E22"/>
    <w:rsid w:val="003057A5"/>
    <w:rsid w:val="00306B05"/>
    <w:rsid w:val="003077EC"/>
    <w:rsid w:val="003172A8"/>
    <w:rsid w:val="00317413"/>
    <w:rsid w:val="0032118A"/>
    <w:rsid w:val="003211CC"/>
    <w:rsid w:val="00321699"/>
    <w:rsid w:val="003217D0"/>
    <w:rsid w:val="00324236"/>
    <w:rsid w:val="00325DE3"/>
    <w:rsid w:val="00325F31"/>
    <w:rsid w:val="0032665D"/>
    <w:rsid w:val="0032669C"/>
    <w:rsid w:val="00326E84"/>
    <w:rsid w:val="003303A5"/>
    <w:rsid w:val="003322B0"/>
    <w:rsid w:val="00332F8F"/>
    <w:rsid w:val="003334B8"/>
    <w:rsid w:val="00334999"/>
    <w:rsid w:val="00334F4E"/>
    <w:rsid w:val="003371E4"/>
    <w:rsid w:val="003413BA"/>
    <w:rsid w:val="00344124"/>
    <w:rsid w:val="00344C73"/>
    <w:rsid w:val="0034501B"/>
    <w:rsid w:val="00347DFB"/>
    <w:rsid w:val="0035188D"/>
    <w:rsid w:val="00353D95"/>
    <w:rsid w:val="0035406F"/>
    <w:rsid w:val="00357F6F"/>
    <w:rsid w:val="00362F09"/>
    <w:rsid w:val="00363490"/>
    <w:rsid w:val="00364302"/>
    <w:rsid w:val="003654C0"/>
    <w:rsid w:val="003663D5"/>
    <w:rsid w:val="00367E2E"/>
    <w:rsid w:val="00372F5D"/>
    <w:rsid w:val="00373935"/>
    <w:rsid w:val="0038012E"/>
    <w:rsid w:val="00383E79"/>
    <w:rsid w:val="00385137"/>
    <w:rsid w:val="00390575"/>
    <w:rsid w:val="00390A7A"/>
    <w:rsid w:val="003930A7"/>
    <w:rsid w:val="0039322D"/>
    <w:rsid w:val="003939F1"/>
    <w:rsid w:val="00395DA0"/>
    <w:rsid w:val="003963D6"/>
    <w:rsid w:val="003A0EA2"/>
    <w:rsid w:val="003A2D05"/>
    <w:rsid w:val="003A3FF0"/>
    <w:rsid w:val="003A61DE"/>
    <w:rsid w:val="003A651A"/>
    <w:rsid w:val="003A6B4D"/>
    <w:rsid w:val="003B082B"/>
    <w:rsid w:val="003B37BE"/>
    <w:rsid w:val="003C69F6"/>
    <w:rsid w:val="003C78DC"/>
    <w:rsid w:val="003D4131"/>
    <w:rsid w:val="003D443D"/>
    <w:rsid w:val="003D46EB"/>
    <w:rsid w:val="003D48A8"/>
    <w:rsid w:val="003D540E"/>
    <w:rsid w:val="003D554D"/>
    <w:rsid w:val="003E0EF2"/>
    <w:rsid w:val="003E2DA6"/>
    <w:rsid w:val="003E4966"/>
    <w:rsid w:val="003E514F"/>
    <w:rsid w:val="003E72BE"/>
    <w:rsid w:val="003F014F"/>
    <w:rsid w:val="003F3342"/>
    <w:rsid w:val="003F3D4D"/>
    <w:rsid w:val="003F4242"/>
    <w:rsid w:val="003F5C3F"/>
    <w:rsid w:val="003F779E"/>
    <w:rsid w:val="00401826"/>
    <w:rsid w:val="00403070"/>
    <w:rsid w:val="00403E13"/>
    <w:rsid w:val="004043B0"/>
    <w:rsid w:val="00406408"/>
    <w:rsid w:val="00407D8D"/>
    <w:rsid w:val="00407DCC"/>
    <w:rsid w:val="0041010A"/>
    <w:rsid w:val="00411128"/>
    <w:rsid w:val="00412D0D"/>
    <w:rsid w:val="00413163"/>
    <w:rsid w:val="004136A9"/>
    <w:rsid w:val="00416B2E"/>
    <w:rsid w:val="00416D1F"/>
    <w:rsid w:val="004226FE"/>
    <w:rsid w:val="004245A8"/>
    <w:rsid w:val="0042510A"/>
    <w:rsid w:val="00431E99"/>
    <w:rsid w:val="004323A8"/>
    <w:rsid w:val="00432735"/>
    <w:rsid w:val="00433178"/>
    <w:rsid w:val="00435048"/>
    <w:rsid w:val="00436796"/>
    <w:rsid w:val="00436A01"/>
    <w:rsid w:val="00452D41"/>
    <w:rsid w:val="0045309A"/>
    <w:rsid w:val="004550D1"/>
    <w:rsid w:val="00455607"/>
    <w:rsid w:val="0046253C"/>
    <w:rsid w:val="004655D0"/>
    <w:rsid w:val="0047058C"/>
    <w:rsid w:val="00471472"/>
    <w:rsid w:val="00472701"/>
    <w:rsid w:val="004751D9"/>
    <w:rsid w:val="00482FCA"/>
    <w:rsid w:val="00484757"/>
    <w:rsid w:val="004872F2"/>
    <w:rsid w:val="004879C6"/>
    <w:rsid w:val="004901E8"/>
    <w:rsid w:val="004949D4"/>
    <w:rsid w:val="00494B87"/>
    <w:rsid w:val="00496D56"/>
    <w:rsid w:val="004977E9"/>
    <w:rsid w:val="00497CF1"/>
    <w:rsid w:val="004A0A2F"/>
    <w:rsid w:val="004A1B90"/>
    <w:rsid w:val="004A1E5A"/>
    <w:rsid w:val="004A29EB"/>
    <w:rsid w:val="004A2C51"/>
    <w:rsid w:val="004A362B"/>
    <w:rsid w:val="004A37CA"/>
    <w:rsid w:val="004A3838"/>
    <w:rsid w:val="004B178D"/>
    <w:rsid w:val="004B1EB8"/>
    <w:rsid w:val="004B2E8F"/>
    <w:rsid w:val="004B6CFD"/>
    <w:rsid w:val="004C0F32"/>
    <w:rsid w:val="004C1B1B"/>
    <w:rsid w:val="004C3412"/>
    <w:rsid w:val="004C4942"/>
    <w:rsid w:val="004C5291"/>
    <w:rsid w:val="004C60A4"/>
    <w:rsid w:val="004C7E60"/>
    <w:rsid w:val="004D22AD"/>
    <w:rsid w:val="004D51E4"/>
    <w:rsid w:val="004D60F3"/>
    <w:rsid w:val="004E043C"/>
    <w:rsid w:val="004E1F96"/>
    <w:rsid w:val="004E7F56"/>
    <w:rsid w:val="004F3201"/>
    <w:rsid w:val="004F4473"/>
    <w:rsid w:val="004F780C"/>
    <w:rsid w:val="004F7B8F"/>
    <w:rsid w:val="00506702"/>
    <w:rsid w:val="00510F1E"/>
    <w:rsid w:val="005120B7"/>
    <w:rsid w:val="00512E5E"/>
    <w:rsid w:val="0051403B"/>
    <w:rsid w:val="00514284"/>
    <w:rsid w:val="00516F6B"/>
    <w:rsid w:val="00517EE7"/>
    <w:rsid w:val="00520336"/>
    <w:rsid w:val="005210EC"/>
    <w:rsid w:val="005214EB"/>
    <w:rsid w:val="00521612"/>
    <w:rsid w:val="005236F3"/>
    <w:rsid w:val="00523EEC"/>
    <w:rsid w:val="0052519B"/>
    <w:rsid w:val="005361AE"/>
    <w:rsid w:val="00541B1F"/>
    <w:rsid w:val="00541E4A"/>
    <w:rsid w:val="00551872"/>
    <w:rsid w:val="0055326D"/>
    <w:rsid w:val="00554064"/>
    <w:rsid w:val="00557060"/>
    <w:rsid w:val="0055768E"/>
    <w:rsid w:val="00560076"/>
    <w:rsid w:val="00563CD4"/>
    <w:rsid w:val="00564240"/>
    <w:rsid w:val="00565BE6"/>
    <w:rsid w:val="00566C9A"/>
    <w:rsid w:val="005701AF"/>
    <w:rsid w:val="00570A54"/>
    <w:rsid w:val="00572B92"/>
    <w:rsid w:val="00573DF9"/>
    <w:rsid w:val="00577ADC"/>
    <w:rsid w:val="0058366C"/>
    <w:rsid w:val="00584625"/>
    <w:rsid w:val="005847ED"/>
    <w:rsid w:val="005860AC"/>
    <w:rsid w:val="00590137"/>
    <w:rsid w:val="005912A5"/>
    <w:rsid w:val="005912F9"/>
    <w:rsid w:val="00591F8D"/>
    <w:rsid w:val="00593419"/>
    <w:rsid w:val="00594EAF"/>
    <w:rsid w:val="005951AE"/>
    <w:rsid w:val="00595793"/>
    <w:rsid w:val="00595CF6"/>
    <w:rsid w:val="00596FD3"/>
    <w:rsid w:val="00597B6E"/>
    <w:rsid w:val="005A0AFF"/>
    <w:rsid w:val="005A35DE"/>
    <w:rsid w:val="005A3A78"/>
    <w:rsid w:val="005A4217"/>
    <w:rsid w:val="005A5A6F"/>
    <w:rsid w:val="005B023A"/>
    <w:rsid w:val="005B0D01"/>
    <w:rsid w:val="005B118A"/>
    <w:rsid w:val="005B19A5"/>
    <w:rsid w:val="005B2634"/>
    <w:rsid w:val="005B2FD8"/>
    <w:rsid w:val="005B3EE8"/>
    <w:rsid w:val="005C12DD"/>
    <w:rsid w:val="005C2F6B"/>
    <w:rsid w:val="005C3D43"/>
    <w:rsid w:val="005C4A6D"/>
    <w:rsid w:val="005C4E9C"/>
    <w:rsid w:val="005C67FB"/>
    <w:rsid w:val="005C7CBD"/>
    <w:rsid w:val="005D01FF"/>
    <w:rsid w:val="005D079D"/>
    <w:rsid w:val="005D3802"/>
    <w:rsid w:val="005D55C4"/>
    <w:rsid w:val="005D74C8"/>
    <w:rsid w:val="005E3916"/>
    <w:rsid w:val="005E3A4E"/>
    <w:rsid w:val="005E3DCE"/>
    <w:rsid w:val="005E40EF"/>
    <w:rsid w:val="005E48AB"/>
    <w:rsid w:val="005E5982"/>
    <w:rsid w:val="005E6170"/>
    <w:rsid w:val="005E6206"/>
    <w:rsid w:val="005E69A7"/>
    <w:rsid w:val="005E7FB2"/>
    <w:rsid w:val="005F1011"/>
    <w:rsid w:val="005F1807"/>
    <w:rsid w:val="005F23D2"/>
    <w:rsid w:val="005F24C8"/>
    <w:rsid w:val="005F38C2"/>
    <w:rsid w:val="005F7C64"/>
    <w:rsid w:val="006037C8"/>
    <w:rsid w:val="006062C2"/>
    <w:rsid w:val="00611764"/>
    <w:rsid w:val="00611869"/>
    <w:rsid w:val="00614717"/>
    <w:rsid w:val="00614739"/>
    <w:rsid w:val="00614E70"/>
    <w:rsid w:val="00616D08"/>
    <w:rsid w:val="00620B02"/>
    <w:rsid w:val="00620E34"/>
    <w:rsid w:val="00621D46"/>
    <w:rsid w:val="00622CF8"/>
    <w:rsid w:val="006230FA"/>
    <w:rsid w:val="00623629"/>
    <w:rsid w:val="00623AF7"/>
    <w:rsid w:val="00623D29"/>
    <w:rsid w:val="006241EE"/>
    <w:rsid w:val="006250AF"/>
    <w:rsid w:val="006253ED"/>
    <w:rsid w:val="00627B65"/>
    <w:rsid w:val="006356A4"/>
    <w:rsid w:val="0063694A"/>
    <w:rsid w:val="006416AE"/>
    <w:rsid w:val="006424C2"/>
    <w:rsid w:val="00644093"/>
    <w:rsid w:val="00645861"/>
    <w:rsid w:val="00647555"/>
    <w:rsid w:val="00652C9D"/>
    <w:rsid w:val="00655579"/>
    <w:rsid w:val="0065584E"/>
    <w:rsid w:val="006561DD"/>
    <w:rsid w:val="0065730C"/>
    <w:rsid w:val="00660F36"/>
    <w:rsid w:val="00662EFE"/>
    <w:rsid w:val="006653E5"/>
    <w:rsid w:val="00665754"/>
    <w:rsid w:val="006659DB"/>
    <w:rsid w:val="00674DB2"/>
    <w:rsid w:val="00676DB3"/>
    <w:rsid w:val="00680699"/>
    <w:rsid w:val="00680BCE"/>
    <w:rsid w:val="00681FFE"/>
    <w:rsid w:val="0068200D"/>
    <w:rsid w:val="006822B2"/>
    <w:rsid w:val="00682B31"/>
    <w:rsid w:val="00683CB1"/>
    <w:rsid w:val="006843F2"/>
    <w:rsid w:val="006847BC"/>
    <w:rsid w:val="006851BB"/>
    <w:rsid w:val="00685BDA"/>
    <w:rsid w:val="00686F6C"/>
    <w:rsid w:val="006900D3"/>
    <w:rsid w:val="00690994"/>
    <w:rsid w:val="00691B72"/>
    <w:rsid w:val="00692612"/>
    <w:rsid w:val="006958D6"/>
    <w:rsid w:val="006A0FA4"/>
    <w:rsid w:val="006A3A8B"/>
    <w:rsid w:val="006A5417"/>
    <w:rsid w:val="006A588D"/>
    <w:rsid w:val="006A6A7E"/>
    <w:rsid w:val="006B5BBD"/>
    <w:rsid w:val="006B67E0"/>
    <w:rsid w:val="006C1C02"/>
    <w:rsid w:val="006C4549"/>
    <w:rsid w:val="006C65F3"/>
    <w:rsid w:val="006C6ABC"/>
    <w:rsid w:val="006C6C72"/>
    <w:rsid w:val="006C7BAE"/>
    <w:rsid w:val="006D0F00"/>
    <w:rsid w:val="006D398B"/>
    <w:rsid w:val="006D69EF"/>
    <w:rsid w:val="006D6C81"/>
    <w:rsid w:val="006D71AE"/>
    <w:rsid w:val="006E3CBE"/>
    <w:rsid w:val="006E4760"/>
    <w:rsid w:val="006E4A80"/>
    <w:rsid w:val="006E5BCE"/>
    <w:rsid w:val="006E5E1E"/>
    <w:rsid w:val="006E5E58"/>
    <w:rsid w:val="006F15EA"/>
    <w:rsid w:val="006F25C2"/>
    <w:rsid w:val="006F552B"/>
    <w:rsid w:val="006F710C"/>
    <w:rsid w:val="006F7D03"/>
    <w:rsid w:val="007001C4"/>
    <w:rsid w:val="007020FD"/>
    <w:rsid w:val="0070247A"/>
    <w:rsid w:val="007025DA"/>
    <w:rsid w:val="0070390D"/>
    <w:rsid w:val="00704D93"/>
    <w:rsid w:val="00706E0E"/>
    <w:rsid w:val="00706EE5"/>
    <w:rsid w:val="007101EE"/>
    <w:rsid w:val="00710EC1"/>
    <w:rsid w:val="007110DE"/>
    <w:rsid w:val="00715E35"/>
    <w:rsid w:val="0071631A"/>
    <w:rsid w:val="00720F9B"/>
    <w:rsid w:val="00721852"/>
    <w:rsid w:val="00721F2B"/>
    <w:rsid w:val="00722B8B"/>
    <w:rsid w:val="007240E9"/>
    <w:rsid w:val="00724867"/>
    <w:rsid w:val="007252CF"/>
    <w:rsid w:val="00725ADE"/>
    <w:rsid w:val="00726605"/>
    <w:rsid w:val="00727A5B"/>
    <w:rsid w:val="0073044B"/>
    <w:rsid w:val="00732F19"/>
    <w:rsid w:val="0073352A"/>
    <w:rsid w:val="00733EA8"/>
    <w:rsid w:val="00734DB1"/>
    <w:rsid w:val="00735F15"/>
    <w:rsid w:val="00736892"/>
    <w:rsid w:val="007368CE"/>
    <w:rsid w:val="007409A2"/>
    <w:rsid w:val="00743101"/>
    <w:rsid w:val="00744315"/>
    <w:rsid w:val="007455CB"/>
    <w:rsid w:val="0074605D"/>
    <w:rsid w:val="00746B18"/>
    <w:rsid w:val="00751CBE"/>
    <w:rsid w:val="00752E8A"/>
    <w:rsid w:val="00754B17"/>
    <w:rsid w:val="00754CDC"/>
    <w:rsid w:val="007554D7"/>
    <w:rsid w:val="00756E64"/>
    <w:rsid w:val="00760D77"/>
    <w:rsid w:val="00763221"/>
    <w:rsid w:val="00764AFF"/>
    <w:rsid w:val="00764F7F"/>
    <w:rsid w:val="00772814"/>
    <w:rsid w:val="00772F00"/>
    <w:rsid w:val="00774B27"/>
    <w:rsid w:val="0078090B"/>
    <w:rsid w:val="00784AB3"/>
    <w:rsid w:val="00787091"/>
    <w:rsid w:val="00790E3A"/>
    <w:rsid w:val="00790F4E"/>
    <w:rsid w:val="00791BB1"/>
    <w:rsid w:val="00793787"/>
    <w:rsid w:val="00794E0E"/>
    <w:rsid w:val="0079512F"/>
    <w:rsid w:val="00795DB8"/>
    <w:rsid w:val="007A1831"/>
    <w:rsid w:val="007A1B34"/>
    <w:rsid w:val="007A20BA"/>
    <w:rsid w:val="007A320B"/>
    <w:rsid w:val="007A32D1"/>
    <w:rsid w:val="007A3517"/>
    <w:rsid w:val="007A3DB5"/>
    <w:rsid w:val="007A4F73"/>
    <w:rsid w:val="007B0539"/>
    <w:rsid w:val="007B1880"/>
    <w:rsid w:val="007B22EF"/>
    <w:rsid w:val="007B3EBE"/>
    <w:rsid w:val="007B4704"/>
    <w:rsid w:val="007B48BF"/>
    <w:rsid w:val="007B73D5"/>
    <w:rsid w:val="007C1437"/>
    <w:rsid w:val="007C28D1"/>
    <w:rsid w:val="007D1759"/>
    <w:rsid w:val="007D1F46"/>
    <w:rsid w:val="007D222E"/>
    <w:rsid w:val="007D24DD"/>
    <w:rsid w:val="007D3D30"/>
    <w:rsid w:val="007D7B24"/>
    <w:rsid w:val="007E0DF9"/>
    <w:rsid w:val="007E380D"/>
    <w:rsid w:val="007E50B9"/>
    <w:rsid w:val="007E590D"/>
    <w:rsid w:val="007E7520"/>
    <w:rsid w:val="007F3B58"/>
    <w:rsid w:val="007F4804"/>
    <w:rsid w:val="007F66D1"/>
    <w:rsid w:val="007F6A9E"/>
    <w:rsid w:val="00802A4B"/>
    <w:rsid w:val="0080381B"/>
    <w:rsid w:val="00803E99"/>
    <w:rsid w:val="00817770"/>
    <w:rsid w:val="008211A9"/>
    <w:rsid w:val="00821B6A"/>
    <w:rsid w:val="008240C9"/>
    <w:rsid w:val="00825E25"/>
    <w:rsid w:val="0082793D"/>
    <w:rsid w:val="0083029D"/>
    <w:rsid w:val="00830FF4"/>
    <w:rsid w:val="008317AB"/>
    <w:rsid w:val="0083247B"/>
    <w:rsid w:val="00832FBC"/>
    <w:rsid w:val="00845A0E"/>
    <w:rsid w:val="00846E48"/>
    <w:rsid w:val="008473CF"/>
    <w:rsid w:val="00851C78"/>
    <w:rsid w:val="00851E85"/>
    <w:rsid w:val="00852520"/>
    <w:rsid w:val="0085444E"/>
    <w:rsid w:val="0085518E"/>
    <w:rsid w:val="00864755"/>
    <w:rsid w:val="0087226B"/>
    <w:rsid w:val="008736A6"/>
    <w:rsid w:val="00874B0C"/>
    <w:rsid w:val="00875ADA"/>
    <w:rsid w:val="0087669A"/>
    <w:rsid w:val="0087684F"/>
    <w:rsid w:val="00876E11"/>
    <w:rsid w:val="008779F1"/>
    <w:rsid w:val="00880C34"/>
    <w:rsid w:val="00884C7D"/>
    <w:rsid w:val="008901A9"/>
    <w:rsid w:val="0089100F"/>
    <w:rsid w:val="00892665"/>
    <w:rsid w:val="00892F86"/>
    <w:rsid w:val="00893152"/>
    <w:rsid w:val="00894259"/>
    <w:rsid w:val="00894AC8"/>
    <w:rsid w:val="00895E6E"/>
    <w:rsid w:val="0089640F"/>
    <w:rsid w:val="008A0027"/>
    <w:rsid w:val="008A0D80"/>
    <w:rsid w:val="008A166C"/>
    <w:rsid w:val="008A7D5F"/>
    <w:rsid w:val="008B2002"/>
    <w:rsid w:val="008B247B"/>
    <w:rsid w:val="008B475F"/>
    <w:rsid w:val="008B759E"/>
    <w:rsid w:val="008C202A"/>
    <w:rsid w:val="008C36E5"/>
    <w:rsid w:val="008C44DF"/>
    <w:rsid w:val="008C72B4"/>
    <w:rsid w:val="008D0397"/>
    <w:rsid w:val="008D116D"/>
    <w:rsid w:val="008D1E23"/>
    <w:rsid w:val="008D2342"/>
    <w:rsid w:val="008D2786"/>
    <w:rsid w:val="008D3100"/>
    <w:rsid w:val="008D3221"/>
    <w:rsid w:val="008D3BDD"/>
    <w:rsid w:val="008D3CAC"/>
    <w:rsid w:val="008D6974"/>
    <w:rsid w:val="008D76FF"/>
    <w:rsid w:val="008E0BDD"/>
    <w:rsid w:val="008E0F95"/>
    <w:rsid w:val="008E195D"/>
    <w:rsid w:val="008E60B0"/>
    <w:rsid w:val="008E79A6"/>
    <w:rsid w:val="008F026D"/>
    <w:rsid w:val="008F0437"/>
    <w:rsid w:val="008F5475"/>
    <w:rsid w:val="008F6B4F"/>
    <w:rsid w:val="008F6F8E"/>
    <w:rsid w:val="008F7FAD"/>
    <w:rsid w:val="00900817"/>
    <w:rsid w:val="0090092A"/>
    <w:rsid w:val="00901892"/>
    <w:rsid w:val="00901C4D"/>
    <w:rsid w:val="009025DA"/>
    <w:rsid w:val="009056A4"/>
    <w:rsid w:val="00906373"/>
    <w:rsid w:val="0090639F"/>
    <w:rsid w:val="00907655"/>
    <w:rsid w:val="00911791"/>
    <w:rsid w:val="00915CAC"/>
    <w:rsid w:val="00915F75"/>
    <w:rsid w:val="0091795A"/>
    <w:rsid w:val="00920527"/>
    <w:rsid w:val="00922CC3"/>
    <w:rsid w:val="0092318A"/>
    <w:rsid w:val="009237BD"/>
    <w:rsid w:val="00926E02"/>
    <w:rsid w:val="00931B3A"/>
    <w:rsid w:val="00941F26"/>
    <w:rsid w:val="00942057"/>
    <w:rsid w:val="00942680"/>
    <w:rsid w:val="00942D0E"/>
    <w:rsid w:val="00945D6E"/>
    <w:rsid w:val="00946CF5"/>
    <w:rsid w:val="00947822"/>
    <w:rsid w:val="00950110"/>
    <w:rsid w:val="009523A7"/>
    <w:rsid w:val="00954FCC"/>
    <w:rsid w:val="00955FE9"/>
    <w:rsid w:val="0095638B"/>
    <w:rsid w:val="0095688B"/>
    <w:rsid w:val="0095719A"/>
    <w:rsid w:val="009572FD"/>
    <w:rsid w:val="00960FDA"/>
    <w:rsid w:val="00961CC3"/>
    <w:rsid w:val="0096253D"/>
    <w:rsid w:val="0096266E"/>
    <w:rsid w:val="00963C6E"/>
    <w:rsid w:val="00965BE9"/>
    <w:rsid w:val="00970F02"/>
    <w:rsid w:val="009722E3"/>
    <w:rsid w:val="00975B8C"/>
    <w:rsid w:val="00975FA2"/>
    <w:rsid w:val="0097637E"/>
    <w:rsid w:val="009803D8"/>
    <w:rsid w:val="00980F04"/>
    <w:rsid w:val="00981B5A"/>
    <w:rsid w:val="00981C7F"/>
    <w:rsid w:val="00982DC4"/>
    <w:rsid w:val="00982E81"/>
    <w:rsid w:val="00983516"/>
    <w:rsid w:val="00983708"/>
    <w:rsid w:val="00983C5D"/>
    <w:rsid w:val="009842D3"/>
    <w:rsid w:val="009847E6"/>
    <w:rsid w:val="00985027"/>
    <w:rsid w:val="009856D1"/>
    <w:rsid w:val="00986E67"/>
    <w:rsid w:val="009879EE"/>
    <w:rsid w:val="00990472"/>
    <w:rsid w:val="00994E85"/>
    <w:rsid w:val="00997C49"/>
    <w:rsid w:val="009A0C83"/>
    <w:rsid w:val="009A2599"/>
    <w:rsid w:val="009A458C"/>
    <w:rsid w:val="009A4910"/>
    <w:rsid w:val="009A7B3D"/>
    <w:rsid w:val="009B0706"/>
    <w:rsid w:val="009B07AE"/>
    <w:rsid w:val="009B07ED"/>
    <w:rsid w:val="009B3939"/>
    <w:rsid w:val="009B3DB6"/>
    <w:rsid w:val="009B3E2E"/>
    <w:rsid w:val="009B3F21"/>
    <w:rsid w:val="009B4E53"/>
    <w:rsid w:val="009C07B0"/>
    <w:rsid w:val="009C0EB7"/>
    <w:rsid w:val="009D0D36"/>
    <w:rsid w:val="009D0D45"/>
    <w:rsid w:val="009D4289"/>
    <w:rsid w:val="009D528E"/>
    <w:rsid w:val="009E0C52"/>
    <w:rsid w:val="009E21F9"/>
    <w:rsid w:val="009E3217"/>
    <w:rsid w:val="009E3A52"/>
    <w:rsid w:val="009E4B09"/>
    <w:rsid w:val="009E5A57"/>
    <w:rsid w:val="009E7B9A"/>
    <w:rsid w:val="009F345A"/>
    <w:rsid w:val="009F6657"/>
    <w:rsid w:val="009F6CC1"/>
    <w:rsid w:val="009F6EC5"/>
    <w:rsid w:val="009F7B35"/>
    <w:rsid w:val="009F7FF2"/>
    <w:rsid w:val="00A02D22"/>
    <w:rsid w:val="00A037EF"/>
    <w:rsid w:val="00A038C2"/>
    <w:rsid w:val="00A0426D"/>
    <w:rsid w:val="00A048FE"/>
    <w:rsid w:val="00A054EF"/>
    <w:rsid w:val="00A1115E"/>
    <w:rsid w:val="00A11235"/>
    <w:rsid w:val="00A1151C"/>
    <w:rsid w:val="00A1290A"/>
    <w:rsid w:val="00A12D6A"/>
    <w:rsid w:val="00A13689"/>
    <w:rsid w:val="00A13932"/>
    <w:rsid w:val="00A142BE"/>
    <w:rsid w:val="00A14A46"/>
    <w:rsid w:val="00A15C0F"/>
    <w:rsid w:val="00A2023A"/>
    <w:rsid w:val="00A21066"/>
    <w:rsid w:val="00A22A98"/>
    <w:rsid w:val="00A244F6"/>
    <w:rsid w:val="00A24517"/>
    <w:rsid w:val="00A25AC5"/>
    <w:rsid w:val="00A26C64"/>
    <w:rsid w:val="00A275BC"/>
    <w:rsid w:val="00A3162C"/>
    <w:rsid w:val="00A35B17"/>
    <w:rsid w:val="00A35F72"/>
    <w:rsid w:val="00A37E00"/>
    <w:rsid w:val="00A40E40"/>
    <w:rsid w:val="00A431F6"/>
    <w:rsid w:val="00A4526E"/>
    <w:rsid w:val="00A45F19"/>
    <w:rsid w:val="00A4652A"/>
    <w:rsid w:val="00A466A2"/>
    <w:rsid w:val="00A4699E"/>
    <w:rsid w:val="00A46BE4"/>
    <w:rsid w:val="00A51E78"/>
    <w:rsid w:val="00A55D49"/>
    <w:rsid w:val="00A565B2"/>
    <w:rsid w:val="00A57F16"/>
    <w:rsid w:val="00A60B7C"/>
    <w:rsid w:val="00A6262F"/>
    <w:rsid w:val="00A666AC"/>
    <w:rsid w:val="00A671B4"/>
    <w:rsid w:val="00A72527"/>
    <w:rsid w:val="00A739DC"/>
    <w:rsid w:val="00A73DD3"/>
    <w:rsid w:val="00A7421D"/>
    <w:rsid w:val="00A745AA"/>
    <w:rsid w:val="00A7534B"/>
    <w:rsid w:val="00A76AB5"/>
    <w:rsid w:val="00A76B13"/>
    <w:rsid w:val="00A819E3"/>
    <w:rsid w:val="00A82BE6"/>
    <w:rsid w:val="00A8400B"/>
    <w:rsid w:val="00A864AC"/>
    <w:rsid w:val="00A86754"/>
    <w:rsid w:val="00A8782F"/>
    <w:rsid w:val="00A9027B"/>
    <w:rsid w:val="00A90A17"/>
    <w:rsid w:val="00A9306D"/>
    <w:rsid w:val="00A93D3E"/>
    <w:rsid w:val="00A93FD5"/>
    <w:rsid w:val="00A94315"/>
    <w:rsid w:val="00A94DC7"/>
    <w:rsid w:val="00A95FFD"/>
    <w:rsid w:val="00A96E01"/>
    <w:rsid w:val="00A97F72"/>
    <w:rsid w:val="00AA1732"/>
    <w:rsid w:val="00AA31B9"/>
    <w:rsid w:val="00AA378E"/>
    <w:rsid w:val="00AA50E7"/>
    <w:rsid w:val="00AB1A22"/>
    <w:rsid w:val="00AB25AF"/>
    <w:rsid w:val="00AB33A1"/>
    <w:rsid w:val="00AB49F3"/>
    <w:rsid w:val="00AB6DD8"/>
    <w:rsid w:val="00AC05A9"/>
    <w:rsid w:val="00AC34CF"/>
    <w:rsid w:val="00AC3AB2"/>
    <w:rsid w:val="00AC670F"/>
    <w:rsid w:val="00AD14CD"/>
    <w:rsid w:val="00AD216C"/>
    <w:rsid w:val="00AD324F"/>
    <w:rsid w:val="00AD74FC"/>
    <w:rsid w:val="00AE0776"/>
    <w:rsid w:val="00AE3104"/>
    <w:rsid w:val="00AE33A2"/>
    <w:rsid w:val="00AE510C"/>
    <w:rsid w:val="00AE57A5"/>
    <w:rsid w:val="00AE6DE1"/>
    <w:rsid w:val="00AF08B4"/>
    <w:rsid w:val="00AF2ABC"/>
    <w:rsid w:val="00AF47E1"/>
    <w:rsid w:val="00AF4EDA"/>
    <w:rsid w:val="00AF5048"/>
    <w:rsid w:val="00B02DAF"/>
    <w:rsid w:val="00B0330C"/>
    <w:rsid w:val="00B04418"/>
    <w:rsid w:val="00B052FD"/>
    <w:rsid w:val="00B20027"/>
    <w:rsid w:val="00B227FF"/>
    <w:rsid w:val="00B2350B"/>
    <w:rsid w:val="00B23660"/>
    <w:rsid w:val="00B2490C"/>
    <w:rsid w:val="00B24FAF"/>
    <w:rsid w:val="00B25329"/>
    <w:rsid w:val="00B261C7"/>
    <w:rsid w:val="00B27A65"/>
    <w:rsid w:val="00B34613"/>
    <w:rsid w:val="00B346FA"/>
    <w:rsid w:val="00B34747"/>
    <w:rsid w:val="00B34AB5"/>
    <w:rsid w:val="00B35FAF"/>
    <w:rsid w:val="00B379BD"/>
    <w:rsid w:val="00B416A4"/>
    <w:rsid w:val="00B4291B"/>
    <w:rsid w:val="00B4458A"/>
    <w:rsid w:val="00B44FE8"/>
    <w:rsid w:val="00B50158"/>
    <w:rsid w:val="00B56CA7"/>
    <w:rsid w:val="00B60FD3"/>
    <w:rsid w:val="00B71867"/>
    <w:rsid w:val="00B72079"/>
    <w:rsid w:val="00B74336"/>
    <w:rsid w:val="00B801BC"/>
    <w:rsid w:val="00B80B16"/>
    <w:rsid w:val="00B81A62"/>
    <w:rsid w:val="00B846EB"/>
    <w:rsid w:val="00B862CE"/>
    <w:rsid w:val="00B870D8"/>
    <w:rsid w:val="00B91F33"/>
    <w:rsid w:val="00B943B0"/>
    <w:rsid w:val="00B9446A"/>
    <w:rsid w:val="00B9595D"/>
    <w:rsid w:val="00B95F50"/>
    <w:rsid w:val="00B96639"/>
    <w:rsid w:val="00B96F83"/>
    <w:rsid w:val="00BA34E2"/>
    <w:rsid w:val="00BB1213"/>
    <w:rsid w:val="00BB21E3"/>
    <w:rsid w:val="00BB40A6"/>
    <w:rsid w:val="00BB4355"/>
    <w:rsid w:val="00BB782F"/>
    <w:rsid w:val="00BB7C3F"/>
    <w:rsid w:val="00BC0F86"/>
    <w:rsid w:val="00BC30E0"/>
    <w:rsid w:val="00BC3424"/>
    <w:rsid w:val="00BC4CF2"/>
    <w:rsid w:val="00BC68A0"/>
    <w:rsid w:val="00BC6D6B"/>
    <w:rsid w:val="00BC7E0C"/>
    <w:rsid w:val="00BD118D"/>
    <w:rsid w:val="00BD1408"/>
    <w:rsid w:val="00BD2E9D"/>
    <w:rsid w:val="00BD2ECD"/>
    <w:rsid w:val="00BD719F"/>
    <w:rsid w:val="00BD73E5"/>
    <w:rsid w:val="00BE10C7"/>
    <w:rsid w:val="00BE4901"/>
    <w:rsid w:val="00BE62D3"/>
    <w:rsid w:val="00BE73D5"/>
    <w:rsid w:val="00BE78E8"/>
    <w:rsid w:val="00BF1A4F"/>
    <w:rsid w:val="00BF3976"/>
    <w:rsid w:val="00BF39EA"/>
    <w:rsid w:val="00BF4364"/>
    <w:rsid w:val="00BF5309"/>
    <w:rsid w:val="00C0094A"/>
    <w:rsid w:val="00C0098E"/>
    <w:rsid w:val="00C00F96"/>
    <w:rsid w:val="00C03396"/>
    <w:rsid w:val="00C03AED"/>
    <w:rsid w:val="00C051D5"/>
    <w:rsid w:val="00C068EE"/>
    <w:rsid w:val="00C069A0"/>
    <w:rsid w:val="00C070E3"/>
    <w:rsid w:val="00C07C7C"/>
    <w:rsid w:val="00C07F0A"/>
    <w:rsid w:val="00C10994"/>
    <w:rsid w:val="00C11FCF"/>
    <w:rsid w:val="00C13B97"/>
    <w:rsid w:val="00C14457"/>
    <w:rsid w:val="00C15202"/>
    <w:rsid w:val="00C16A43"/>
    <w:rsid w:val="00C17919"/>
    <w:rsid w:val="00C22DBE"/>
    <w:rsid w:val="00C24449"/>
    <w:rsid w:val="00C3023C"/>
    <w:rsid w:val="00C30ACF"/>
    <w:rsid w:val="00C32264"/>
    <w:rsid w:val="00C323B8"/>
    <w:rsid w:val="00C32621"/>
    <w:rsid w:val="00C329F5"/>
    <w:rsid w:val="00C33236"/>
    <w:rsid w:val="00C34E81"/>
    <w:rsid w:val="00C35472"/>
    <w:rsid w:val="00C36564"/>
    <w:rsid w:val="00C36EA9"/>
    <w:rsid w:val="00C4258D"/>
    <w:rsid w:val="00C42DC2"/>
    <w:rsid w:val="00C43D20"/>
    <w:rsid w:val="00C43DC8"/>
    <w:rsid w:val="00C45FA8"/>
    <w:rsid w:val="00C51316"/>
    <w:rsid w:val="00C5353A"/>
    <w:rsid w:val="00C53559"/>
    <w:rsid w:val="00C5464C"/>
    <w:rsid w:val="00C5719E"/>
    <w:rsid w:val="00C6053A"/>
    <w:rsid w:val="00C63387"/>
    <w:rsid w:val="00C64B7D"/>
    <w:rsid w:val="00C6510A"/>
    <w:rsid w:val="00C6597D"/>
    <w:rsid w:val="00C65CED"/>
    <w:rsid w:val="00C662E2"/>
    <w:rsid w:val="00C66687"/>
    <w:rsid w:val="00C707CC"/>
    <w:rsid w:val="00C71308"/>
    <w:rsid w:val="00C716BF"/>
    <w:rsid w:val="00C72C7E"/>
    <w:rsid w:val="00C77999"/>
    <w:rsid w:val="00C8116B"/>
    <w:rsid w:val="00C812F9"/>
    <w:rsid w:val="00C81976"/>
    <w:rsid w:val="00C8247D"/>
    <w:rsid w:val="00C855D2"/>
    <w:rsid w:val="00C85BDC"/>
    <w:rsid w:val="00C86B33"/>
    <w:rsid w:val="00C92530"/>
    <w:rsid w:val="00C92EC8"/>
    <w:rsid w:val="00C94467"/>
    <w:rsid w:val="00C956C9"/>
    <w:rsid w:val="00C96E1A"/>
    <w:rsid w:val="00CA3209"/>
    <w:rsid w:val="00CA450F"/>
    <w:rsid w:val="00CA60FD"/>
    <w:rsid w:val="00CA6E6B"/>
    <w:rsid w:val="00CA7CD3"/>
    <w:rsid w:val="00CB0219"/>
    <w:rsid w:val="00CB1F80"/>
    <w:rsid w:val="00CB31ED"/>
    <w:rsid w:val="00CB3D0F"/>
    <w:rsid w:val="00CB51C8"/>
    <w:rsid w:val="00CC00B8"/>
    <w:rsid w:val="00CC2A35"/>
    <w:rsid w:val="00CC4BE9"/>
    <w:rsid w:val="00CD2E99"/>
    <w:rsid w:val="00CD3919"/>
    <w:rsid w:val="00CD4163"/>
    <w:rsid w:val="00CE048E"/>
    <w:rsid w:val="00CE073B"/>
    <w:rsid w:val="00CE0A43"/>
    <w:rsid w:val="00CE4370"/>
    <w:rsid w:val="00CE487E"/>
    <w:rsid w:val="00CE4BA4"/>
    <w:rsid w:val="00CE641A"/>
    <w:rsid w:val="00CE6523"/>
    <w:rsid w:val="00CE6F7F"/>
    <w:rsid w:val="00CF1C7A"/>
    <w:rsid w:val="00CF3B0A"/>
    <w:rsid w:val="00CF3F5C"/>
    <w:rsid w:val="00CF4FCC"/>
    <w:rsid w:val="00CF5C23"/>
    <w:rsid w:val="00D00765"/>
    <w:rsid w:val="00D02749"/>
    <w:rsid w:val="00D029E8"/>
    <w:rsid w:val="00D02B35"/>
    <w:rsid w:val="00D02C97"/>
    <w:rsid w:val="00D041D5"/>
    <w:rsid w:val="00D04830"/>
    <w:rsid w:val="00D058F4"/>
    <w:rsid w:val="00D05E0C"/>
    <w:rsid w:val="00D07F0B"/>
    <w:rsid w:val="00D108BB"/>
    <w:rsid w:val="00D11C52"/>
    <w:rsid w:val="00D170C3"/>
    <w:rsid w:val="00D20419"/>
    <w:rsid w:val="00D21F52"/>
    <w:rsid w:val="00D2390D"/>
    <w:rsid w:val="00D23E0F"/>
    <w:rsid w:val="00D266AB"/>
    <w:rsid w:val="00D266AD"/>
    <w:rsid w:val="00D26C50"/>
    <w:rsid w:val="00D303D9"/>
    <w:rsid w:val="00D31053"/>
    <w:rsid w:val="00D311E3"/>
    <w:rsid w:val="00D31A67"/>
    <w:rsid w:val="00D33F90"/>
    <w:rsid w:val="00D35090"/>
    <w:rsid w:val="00D40335"/>
    <w:rsid w:val="00D42880"/>
    <w:rsid w:val="00D42AF4"/>
    <w:rsid w:val="00D45F7E"/>
    <w:rsid w:val="00D47899"/>
    <w:rsid w:val="00D51539"/>
    <w:rsid w:val="00D523C9"/>
    <w:rsid w:val="00D540DC"/>
    <w:rsid w:val="00D551DC"/>
    <w:rsid w:val="00D5707F"/>
    <w:rsid w:val="00D612BA"/>
    <w:rsid w:val="00D62A93"/>
    <w:rsid w:val="00D71840"/>
    <w:rsid w:val="00D7184C"/>
    <w:rsid w:val="00D71E7D"/>
    <w:rsid w:val="00D725A8"/>
    <w:rsid w:val="00D77645"/>
    <w:rsid w:val="00D828C7"/>
    <w:rsid w:val="00D84CB4"/>
    <w:rsid w:val="00D84E4B"/>
    <w:rsid w:val="00D90D22"/>
    <w:rsid w:val="00D91474"/>
    <w:rsid w:val="00D934AA"/>
    <w:rsid w:val="00D9421C"/>
    <w:rsid w:val="00D966AB"/>
    <w:rsid w:val="00DA0549"/>
    <w:rsid w:val="00DA06C4"/>
    <w:rsid w:val="00DA1283"/>
    <w:rsid w:val="00DA1290"/>
    <w:rsid w:val="00DA1F40"/>
    <w:rsid w:val="00DA2417"/>
    <w:rsid w:val="00DA259C"/>
    <w:rsid w:val="00DA4174"/>
    <w:rsid w:val="00DA4F04"/>
    <w:rsid w:val="00DB0752"/>
    <w:rsid w:val="00DB57BD"/>
    <w:rsid w:val="00DB6402"/>
    <w:rsid w:val="00DB6B5C"/>
    <w:rsid w:val="00DB77AE"/>
    <w:rsid w:val="00DC1FFD"/>
    <w:rsid w:val="00DC4636"/>
    <w:rsid w:val="00DC5587"/>
    <w:rsid w:val="00DC5819"/>
    <w:rsid w:val="00DD13B9"/>
    <w:rsid w:val="00DD27DB"/>
    <w:rsid w:val="00DD4CA2"/>
    <w:rsid w:val="00DD66BB"/>
    <w:rsid w:val="00DD6ABC"/>
    <w:rsid w:val="00DD6B00"/>
    <w:rsid w:val="00DD7827"/>
    <w:rsid w:val="00DE1730"/>
    <w:rsid w:val="00DE2773"/>
    <w:rsid w:val="00DE6E8F"/>
    <w:rsid w:val="00DF0860"/>
    <w:rsid w:val="00DF1A49"/>
    <w:rsid w:val="00DF4240"/>
    <w:rsid w:val="00DF5856"/>
    <w:rsid w:val="00E00BD4"/>
    <w:rsid w:val="00E00EA6"/>
    <w:rsid w:val="00E01FEF"/>
    <w:rsid w:val="00E03233"/>
    <w:rsid w:val="00E04207"/>
    <w:rsid w:val="00E11F7E"/>
    <w:rsid w:val="00E12546"/>
    <w:rsid w:val="00E12E79"/>
    <w:rsid w:val="00E13164"/>
    <w:rsid w:val="00E1347E"/>
    <w:rsid w:val="00E13941"/>
    <w:rsid w:val="00E15FA8"/>
    <w:rsid w:val="00E166FE"/>
    <w:rsid w:val="00E24943"/>
    <w:rsid w:val="00E257EE"/>
    <w:rsid w:val="00E27F99"/>
    <w:rsid w:val="00E300F2"/>
    <w:rsid w:val="00E31863"/>
    <w:rsid w:val="00E31B7F"/>
    <w:rsid w:val="00E34A49"/>
    <w:rsid w:val="00E34DFE"/>
    <w:rsid w:val="00E401B7"/>
    <w:rsid w:val="00E42917"/>
    <w:rsid w:val="00E440CF"/>
    <w:rsid w:val="00E444B3"/>
    <w:rsid w:val="00E444D6"/>
    <w:rsid w:val="00E4535D"/>
    <w:rsid w:val="00E45510"/>
    <w:rsid w:val="00E47DE3"/>
    <w:rsid w:val="00E47EED"/>
    <w:rsid w:val="00E524CA"/>
    <w:rsid w:val="00E612A8"/>
    <w:rsid w:val="00E62715"/>
    <w:rsid w:val="00E62DAD"/>
    <w:rsid w:val="00E63830"/>
    <w:rsid w:val="00E6571A"/>
    <w:rsid w:val="00E65ED9"/>
    <w:rsid w:val="00E67198"/>
    <w:rsid w:val="00E715DA"/>
    <w:rsid w:val="00E71E84"/>
    <w:rsid w:val="00E748AE"/>
    <w:rsid w:val="00E74C94"/>
    <w:rsid w:val="00E7742F"/>
    <w:rsid w:val="00E80732"/>
    <w:rsid w:val="00E80D0F"/>
    <w:rsid w:val="00E8512C"/>
    <w:rsid w:val="00E86207"/>
    <w:rsid w:val="00E92726"/>
    <w:rsid w:val="00E92DA7"/>
    <w:rsid w:val="00E938B0"/>
    <w:rsid w:val="00E93B70"/>
    <w:rsid w:val="00E947A1"/>
    <w:rsid w:val="00E94C8B"/>
    <w:rsid w:val="00E95EE6"/>
    <w:rsid w:val="00E96E9C"/>
    <w:rsid w:val="00E97E29"/>
    <w:rsid w:val="00EA067A"/>
    <w:rsid w:val="00EA0D3C"/>
    <w:rsid w:val="00EA1413"/>
    <w:rsid w:val="00EA2B53"/>
    <w:rsid w:val="00EA3349"/>
    <w:rsid w:val="00EA366E"/>
    <w:rsid w:val="00EA760C"/>
    <w:rsid w:val="00EA7919"/>
    <w:rsid w:val="00EB1C6E"/>
    <w:rsid w:val="00EB1EC4"/>
    <w:rsid w:val="00EB1F0F"/>
    <w:rsid w:val="00EC08C7"/>
    <w:rsid w:val="00EC0E96"/>
    <w:rsid w:val="00EC15C6"/>
    <w:rsid w:val="00EC51BD"/>
    <w:rsid w:val="00EC6DBF"/>
    <w:rsid w:val="00ED407C"/>
    <w:rsid w:val="00ED450F"/>
    <w:rsid w:val="00ED60C5"/>
    <w:rsid w:val="00EE089C"/>
    <w:rsid w:val="00EE382A"/>
    <w:rsid w:val="00EE3B20"/>
    <w:rsid w:val="00EE45D5"/>
    <w:rsid w:val="00EE5354"/>
    <w:rsid w:val="00EE7060"/>
    <w:rsid w:val="00EE71F3"/>
    <w:rsid w:val="00EE7243"/>
    <w:rsid w:val="00EF0716"/>
    <w:rsid w:val="00EF0E54"/>
    <w:rsid w:val="00EF2962"/>
    <w:rsid w:val="00EF41BE"/>
    <w:rsid w:val="00EF4385"/>
    <w:rsid w:val="00EF665D"/>
    <w:rsid w:val="00EF66D1"/>
    <w:rsid w:val="00F02697"/>
    <w:rsid w:val="00F06274"/>
    <w:rsid w:val="00F12890"/>
    <w:rsid w:val="00F16AD7"/>
    <w:rsid w:val="00F22259"/>
    <w:rsid w:val="00F242D8"/>
    <w:rsid w:val="00F24744"/>
    <w:rsid w:val="00F250C9"/>
    <w:rsid w:val="00F25598"/>
    <w:rsid w:val="00F2674C"/>
    <w:rsid w:val="00F272D9"/>
    <w:rsid w:val="00F27649"/>
    <w:rsid w:val="00F3117C"/>
    <w:rsid w:val="00F319C3"/>
    <w:rsid w:val="00F3295E"/>
    <w:rsid w:val="00F34620"/>
    <w:rsid w:val="00F36BD6"/>
    <w:rsid w:val="00F37274"/>
    <w:rsid w:val="00F41FAB"/>
    <w:rsid w:val="00F44659"/>
    <w:rsid w:val="00F472F7"/>
    <w:rsid w:val="00F50A19"/>
    <w:rsid w:val="00F53C74"/>
    <w:rsid w:val="00F54F10"/>
    <w:rsid w:val="00F55579"/>
    <w:rsid w:val="00F6073D"/>
    <w:rsid w:val="00F63A45"/>
    <w:rsid w:val="00F64912"/>
    <w:rsid w:val="00F67613"/>
    <w:rsid w:val="00F7006D"/>
    <w:rsid w:val="00F72F79"/>
    <w:rsid w:val="00F73164"/>
    <w:rsid w:val="00F74D3F"/>
    <w:rsid w:val="00F75844"/>
    <w:rsid w:val="00F831FA"/>
    <w:rsid w:val="00F836C3"/>
    <w:rsid w:val="00F8563D"/>
    <w:rsid w:val="00F902D3"/>
    <w:rsid w:val="00F90D18"/>
    <w:rsid w:val="00F91758"/>
    <w:rsid w:val="00F93867"/>
    <w:rsid w:val="00F93F8B"/>
    <w:rsid w:val="00F965E9"/>
    <w:rsid w:val="00F96EA2"/>
    <w:rsid w:val="00F97D9A"/>
    <w:rsid w:val="00FA0E1D"/>
    <w:rsid w:val="00FA0ECA"/>
    <w:rsid w:val="00FA1E0D"/>
    <w:rsid w:val="00FA3B5F"/>
    <w:rsid w:val="00FA61AC"/>
    <w:rsid w:val="00FA75C0"/>
    <w:rsid w:val="00FB0DBD"/>
    <w:rsid w:val="00FB30AB"/>
    <w:rsid w:val="00FB317F"/>
    <w:rsid w:val="00FB6254"/>
    <w:rsid w:val="00FB62AE"/>
    <w:rsid w:val="00FB665D"/>
    <w:rsid w:val="00FB7BAA"/>
    <w:rsid w:val="00FC37AE"/>
    <w:rsid w:val="00FC40DF"/>
    <w:rsid w:val="00FC4AA6"/>
    <w:rsid w:val="00FC7201"/>
    <w:rsid w:val="00FD0503"/>
    <w:rsid w:val="00FD0891"/>
    <w:rsid w:val="00FD09DE"/>
    <w:rsid w:val="00FD0AB3"/>
    <w:rsid w:val="00FD0CE2"/>
    <w:rsid w:val="00FD43AF"/>
    <w:rsid w:val="00FD5CF9"/>
    <w:rsid w:val="00FD5D92"/>
    <w:rsid w:val="00FE08EE"/>
    <w:rsid w:val="00FE35F4"/>
    <w:rsid w:val="00FE3D18"/>
    <w:rsid w:val="00FF0C3B"/>
    <w:rsid w:val="00FF1063"/>
    <w:rsid w:val="00FF1E5C"/>
    <w:rsid w:val="00FF2A37"/>
    <w:rsid w:val="00FF4BA0"/>
    <w:rsid w:val="00FF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93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FD"/>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uiPriority w:val="99"/>
    <w:rsid w:val="00FA1E0D"/>
  </w:style>
  <w:style w:type="character" w:customStyle="1" w:styleId="apple-converted-space">
    <w:name w:val="apple-converted-space"/>
    <w:uiPriority w:val="99"/>
    <w:rsid w:val="00FA1E0D"/>
  </w:style>
  <w:style w:type="character" w:styleId="Hyperlink">
    <w:name w:val="Hyperlink"/>
    <w:basedOn w:val="DefaultParagraphFont"/>
    <w:uiPriority w:val="99"/>
    <w:rsid w:val="00FA1E0D"/>
    <w:rPr>
      <w:rFonts w:cs="Times New Roman"/>
      <w:color w:val="0000FF"/>
      <w:u w:val="single"/>
    </w:rPr>
  </w:style>
  <w:style w:type="paragraph" w:styleId="BalloonText">
    <w:name w:val="Balloon Text"/>
    <w:basedOn w:val="Normal"/>
    <w:link w:val="BalloonTextChar"/>
    <w:uiPriority w:val="99"/>
    <w:semiHidden/>
    <w:rsid w:val="00754B17"/>
    <w:rPr>
      <w:rFonts w:ascii="Tahoma" w:hAnsi="Tahoma"/>
      <w:sz w:val="16"/>
      <w:szCs w:val="16"/>
    </w:rPr>
  </w:style>
  <w:style w:type="character" w:customStyle="1" w:styleId="BalloonTextChar">
    <w:name w:val="Balloon Text Char"/>
    <w:basedOn w:val="DefaultParagraphFont"/>
    <w:link w:val="BalloonText"/>
    <w:uiPriority w:val="99"/>
    <w:semiHidden/>
    <w:locked/>
    <w:rsid w:val="00754B17"/>
    <w:rPr>
      <w:rFonts w:ascii="Tahoma" w:hAnsi="Tahoma" w:cs="Times New Roman"/>
      <w:sz w:val="16"/>
    </w:rPr>
  </w:style>
  <w:style w:type="table" w:styleId="TableGrid">
    <w:name w:val="Table Grid"/>
    <w:basedOn w:val="TableNormal"/>
    <w:uiPriority w:val="99"/>
    <w:rsid w:val="00F22259"/>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6073D"/>
    <w:rPr>
      <w:rFonts w:eastAsia="Times New Roman"/>
      <w:sz w:val="20"/>
      <w:szCs w:val="20"/>
    </w:rPr>
  </w:style>
  <w:style w:type="character" w:customStyle="1" w:styleId="FootnoteTextChar">
    <w:name w:val="Footnote Text Char"/>
    <w:basedOn w:val="DefaultParagraphFont"/>
    <w:link w:val="FootnoteText"/>
    <w:uiPriority w:val="99"/>
    <w:semiHidden/>
    <w:locked/>
    <w:rsid w:val="00F6073D"/>
    <w:rPr>
      <w:rFonts w:eastAsia="Times New Roman" w:cs="Times New Roman"/>
    </w:rPr>
  </w:style>
  <w:style w:type="character" w:styleId="FootnoteReference">
    <w:name w:val="footnote reference"/>
    <w:basedOn w:val="DefaultParagraphFont"/>
    <w:uiPriority w:val="99"/>
    <w:semiHidden/>
    <w:rsid w:val="00F6073D"/>
    <w:rPr>
      <w:rFonts w:cs="Times New Roman"/>
      <w:vertAlign w:val="superscript"/>
    </w:rPr>
  </w:style>
  <w:style w:type="paragraph" w:styleId="BodyTextIndent">
    <w:name w:val="Body Text Indent"/>
    <w:basedOn w:val="Normal"/>
    <w:link w:val="BodyTextIndentChar"/>
    <w:uiPriority w:val="99"/>
    <w:rsid w:val="00403070"/>
    <w:pPr>
      <w:tabs>
        <w:tab w:val="left" w:pos="1800"/>
      </w:tabs>
      <w:ind w:left="1800" w:hanging="360"/>
    </w:pPr>
    <w:rPr>
      <w:rFonts w:eastAsia="Times New Roman"/>
      <w:sz w:val="20"/>
      <w:szCs w:val="20"/>
    </w:rPr>
  </w:style>
  <w:style w:type="character" w:customStyle="1" w:styleId="BodyTextIndentChar">
    <w:name w:val="Body Text Indent Char"/>
    <w:basedOn w:val="DefaultParagraphFont"/>
    <w:link w:val="BodyTextIndent"/>
    <w:uiPriority w:val="99"/>
    <w:locked/>
    <w:rsid w:val="00403070"/>
    <w:rPr>
      <w:rFonts w:eastAsia="Times New Roman" w:cs="Times New Roman"/>
      <w:sz w:val="20"/>
    </w:rPr>
  </w:style>
  <w:style w:type="paragraph" w:customStyle="1" w:styleId="ColorfulShading-Accent31">
    <w:name w:val="Colorful Shading - Accent 31"/>
    <w:basedOn w:val="Normal"/>
    <w:uiPriority w:val="99"/>
    <w:rsid w:val="008D2786"/>
    <w:pPr>
      <w:ind w:left="720"/>
      <w:contextualSpacing/>
    </w:pPr>
  </w:style>
  <w:style w:type="paragraph" w:styleId="NormalWeb">
    <w:name w:val="Normal (Web)"/>
    <w:basedOn w:val="Normal"/>
    <w:uiPriority w:val="99"/>
    <w:rsid w:val="00364302"/>
    <w:pPr>
      <w:spacing w:before="100" w:beforeAutospacing="1" w:after="100" w:afterAutospacing="1"/>
    </w:pPr>
    <w:rPr>
      <w:rFonts w:eastAsia="Times New Roman"/>
    </w:rPr>
  </w:style>
  <w:style w:type="paragraph" w:customStyle="1" w:styleId="author">
    <w:name w:val="author"/>
    <w:basedOn w:val="Normal"/>
    <w:uiPriority w:val="99"/>
    <w:rsid w:val="0090092A"/>
    <w:pPr>
      <w:spacing w:before="100" w:beforeAutospacing="1" w:after="100" w:afterAutospacing="1"/>
    </w:pPr>
    <w:rPr>
      <w:rFonts w:eastAsia="Times New Roman"/>
    </w:rPr>
  </w:style>
  <w:style w:type="paragraph" w:customStyle="1" w:styleId="affiliation">
    <w:name w:val="affiliation"/>
    <w:basedOn w:val="Normal"/>
    <w:uiPriority w:val="99"/>
    <w:rsid w:val="0090092A"/>
    <w:pPr>
      <w:spacing w:before="100" w:beforeAutospacing="1" w:after="100" w:afterAutospacing="1"/>
    </w:pPr>
    <w:rPr>
      <w:rFonts w:eastAsia="Times New Roman"/>
    </w:rPr>
  </w:style>
  <w:style w:type="paragraph" w:styleId="Header">
    <w:name w:val="header"/>
    <w:basedOn w:val="Normal"/>
    <w:link w:val="HeaderChar"/>
    <w:uiPriority w:val="99"/>
    <w:rsid w:val="001F15C5"/>
    <w:pPr>
      <w:tabs>
        <w:tab w:val="center" w:pos="4320"/>
        <w:tab w:val="right" w:pos="8640"/>
      </w:tabs>
    </w:pPr>
  </w:style>
  <w:style w:type="character" w:customStyle="1" w:styleId="HeaderChar">
    <w:name w:val="Header Char"/>
    <w:basedOn w:val="DefaultParagraphFont"/>
    <w:link w:val="Header"/>
    <w:uiPriority w:val="99"/>
    <w:semiHidden/>
    <w:locked/>
    <w:rsid w:val="002A6EFA"/>
    <w:rPr>
      <w:rFonts w:cs="Times New Roman"/>
      <w:sz w:val="24"/>
      <w:szCs w:val="24"/>
    </w:rPr>
  </w:style>
  <w:style w:type="paragraph" w:styleId="Footer">
    <w:name w:val="footer"/>
    <w:basedOn w:val="Normal"/>
    <w:link w:val="FooterChar"/>
    <w:uiPriority w:val="99"/>
    <w:rsid w:val="001F15C5"/>
    <w:pPr>
      <w:tabs>
        <w:tab w:val="center" w:pos="4320"/>
        <w:tab w:val="right" w:pos="8640"/>
      </w:tabs>
    </w:pPr>
  </w:style>
  <w:style w:type="character" w:customStyle="1" w:styleId="FooterChar">
    <w:name w:val="Footer Char"/>
    <w:basedOn w:val="DefaultParagraphFont"/>
    <w:link w:val="Footer"/>
    <w:uiPriority w:val="99"/>
    <w:semiHidden/>
    <w:locked/>
    <w:rsid w:val="002A6EFA"/>
    <w:rPr>
      <w:rFonts w:cs="Times New Roman"/>
      <w:sz w:val="24"/>
      <w:szCs w:val="24"/>
    </w:rPr>
  </w:style>
  <w:style w:type="character" w:styleId="PageNumber">
    <w:name w:val="page number"/>
    <w:basedOn w:val="DefaultParagraphFont"/>
    <w:uiPriority w:val="99"/>
    <w:rsid w:val="001F15C5"/>
    <w:rPr>
      <w:rFonts w:cs="Times New Roman"/>
    </w:rPr>
  </w:style>
  <w:style w:type="character" w:styleId="HTMLCite">
    <w:name w:val="HTML Cite"/>
    <w:basedOn w:val="DefaultParagraphFont"/>
    <w:uiPriority w:val="99"/>
    <w:rsid w:val="00221D2E"/>
    <w:rPr>
      <w:rFonts w:cs="Times New Roman"/>
      <w:i/>
    </w:rPr>
  </w:style>
  <w:style w:type="character" w:styleId="CommentReference">
    <w:name w:val="annotation reference"/>
    <w:basedOn w:val="DefaultParagraphFont"/>
    <w:uiPriority w:val="99"/>
    <w:rsid w:val="00E03233"/>
    <w:rPr>
      <w:rFonts w:cs="Times New Roman"/>
      <w:sz w:val="16"/>
    </w:rPr>
  </w:style>
  <w:style w:type="paragraph" w:styleId="CommentText">
    <w:name w:val="annotation text"/>
    <w:basedOn w:val="Normal"/>
    <w:link w:val="CommentTextChar"/>
    <w:uiPriority w:val="99"/>
    <w:rsid w:val="00E03233"/>
    <w:rPr>
      <w:sz w:val="20"/>
      <w:szCs w:val="20"/>
    </w:rPr>
  </w:style>
  <w:style w:type="character" w:customStyle="1" w:styleId="CommentTextChar">
    <w:name w:val="Comment Text Char"/>
    <w:basedOn w:val="DefaultParagraphFont"/>
    <w:link w:val="CommentText"/>
    <w:uiPriority w:val="99"/>
    <w:locked/>
    <w:rsid w:val="00E03233"/>
    <w:rPr>
      <w:rFonts w:cs="Times New Roman"/>
    </w:rPr>
  </w:style>
  <w:style w:type="paragraph" w:styleId="CommentSubject">
    <w:name w:val="annotation subject"/>
    <w:basedOn w:val="CommentText"/>
    <w:next w:val="CommentText"/>
    <w:link w:val="CommentSubjectChar"/>
    <w:uiPriority w:val="99"/>
    <w:rsid w:val="00E03233"/>
    <w:rPr>
      <w:b/>
      <w:bCs/>
    </w:rPr>
  </w:style>
  <w:style w:type="character" w:customStyle="1" w:styleId="CommentSubjectChar">
    <w:name w:val="Comment Subject Char"/>
    <w:basedOn w:val="CommentTextChar"/>
    <w:link w:val="CommentSubject"/>
    <w:uiPriority w:val="99"/>
    <w:locked/>
    <w:rsid w:val="00E03233"/>
    <w:rPr>
      <w:rFonts w:cs="Times New Roman"/>
      <w:b/>
    </w:rPr>
  </w:style>
  <w:style w:type="character" w:styleId="Strong">
    <w:name w:val="Strong"/>
    <w:basedOn w:val="DefaultParagraphFont"/>
    <w:uiPriority w:val="99"/>
    <w:qFormat/>
    <w:locked/>
    <w:rsid w:val="005E69A7"/>
    <w:rPr>
      <w:rFonts w:cs="Times New Roman"/>
      <w:b/>
    </w:rPr>
  </w:style>
  <w:style w:type="paragraph" w:styleId="ListBullet">
    <w:name w:val="List Bullet"/>
    <w:basedOn w:val="Normal"/>
    <w:uiPriority w:val="99"/>
    <w:rsid w:val="0006032F"/>
    <w:pPr>
      <w:contextualSpacing/>
    </w:pPr>
  </w:style>
  <w:style w:type="character" w:customStyle="1" w:styleId="style">
    <w:name w:val="style"/>
    <w:uiPriority w:val="99"/>
    <w:rsid w:val="00102FB0"/>
  </w:style>
  <w:style w:type="character" w:customStyle="1" w:styleId="style1">
    <w:name w:val="style_1"/>
    <w:uiPriority w:val="99"/>
    <w:rsid w:val="00102FB0"/>
  </w:style>
  <w:style w:type="paragraph" w:styleId="ListParagraph">
    <w:name w:val="List Paragraph"/>
    <w:basedOn w:val="Normal"/>
    <w:uiPriority w:val="99"/>
    <w:qFormat/>
    <w:rsid w:val="00EE5354"/>
    <w:pPr>
      <w:ind w:left="720"/>
      <w:contextualSpacing/>
    </w:pPr>
    <w:rPr>
      <w:rFonts w:eastAsia="MS Minngs"/>
    </w:rPr>
  </w:style>
  <w:style w:type="character" w:customStyle="1" w:styleId="url">
    <w:name w:val="url"/>
    <w:uiPriority w:val="99"/>
    <w:rsid w:val="00F27649"/>
  </w:style>
  <w:style w:type="character" w:customStyle="1" w:styleId="citationvolume">
    <w:name w:val="citation_volume"/>
    <w:basedOn w:val="DefaultParagraphFont"/>
    <w:uiPriority w:val="99"/>
    <w:rsid w:val="00FF2A37"/>
    <w:rPr>
      <w:rFonts w:cs="Times New Roman"/>
    </w:rPr>
  </w:style>
  <w:style w:type="character" w:customStyle="1" w:styleId="pagination">
    <w:name w:val="pagination"/>
    <w:rsid w:val="003A3F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FD"/>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uiPriority w:val="99"/>
    <w:rsid w:val="00FA1E0D"/>
  </w:style>
  <w:style w:type="character" w:customStyle="1" w:styleId="apple-converted-space">
    <w:name w:val="apple-converted-space"/>
    <w:uiPriority w:val="99"/>
    <w:rsid w:val="00FA1E0D"/>
  </w:style>
  <w:style w:type="character" w:styleId="Hyperlink">
    <w:name w:val="Hyperlink"/>
    <w:basedOn w:val="DefaultParagraphFont"/>
    <w:uiPriority w:val="99"/>
    <w:rsid w:val="00FA1E0D"/>
    <w:rPr>
      <w:rFonts w:cs="Times New Roman"/>
      <w:color w:val="0000FF"/>
      <w:u w:val="single"/>
    </w:rPr>
  </w:style>
  <w:style w:type="paragraph" w:styleId="BalloonText">
    <w:name w:val="Balloon Text"/>
    <w:basedOn w:val="Normal"/>
    <w:link w:val="BalloonTextChar"/>
    <w:uiPriority w:val="99"/>
    <w:semiHidden/>
    <w:rsid w:val="00754B17"/>
    <w:rPr>
      <w:rFonts w:ascii="Tahoma" w:hAnsi="Tahoma"/>
      <w:sz w:val="16"/>
      <w:szCs w:val="16"/>
    </w:rPr>
  </w:style>
  <w:style w:type="character" w:customStyle="1" w:styleId="BalloonTextChar">
    <w:name w:val="Balloon Text Char"/>
    <w:basedOn w:val="DefaultParagraphFont"/>
    <w:link w:val="BalloonText"/>
    <w:uiPriority w:val="99"/>
    <w:semiHidden/>
    <w:locked/>
    <w:rsid w:val="00754B17"/>
    <w:rPr>
      <w:rFonts w:ascii="Tahoma" w:hAnsi="Tahoma" w:cs="Times New Roman"/>
      <w:sz w:val="16"/>
    </w:rPr>
  </w:style>
  <w:style w:type="table" w:styleId="TableGrid">
    <w:name w:val="Table Grid"/>
    <w:basedOn w:val="TableNormal"/>
    <w:uiPriority w:val="99"/>
    <w:rsid w:val="00F22259"/>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6073D"/>
    <w:rPr>
      <w:rFonts w:eastAsia="Times New Roman"/>
      <w:sz w:val="20"/>
      <w:szCs w:val="20"/>
    </w:rPr>
  </w:style>
  <w:style w:type="character" w:customStyle="1" w:styleId="FootnoteTextChar">
    <w:name w:val="Footnote Text Char"/>
    <w:basedOn w:val="DefaultParagraphFont"/>
    <w:link w:val="FootnoteText"/>
    <w:uiPriority w:val="99"/>
    <w:semiHidden/>
    <w:locked/>
    <w:rsid w:val="00F6073D"/>
    <w:rPr>
      <w:rFonts w:eastAsia="Times New Roman" w:cs="Times New Roman"/>
    </w:rPr>
  </w:style>
  <w:style w:type="character" w:styleId="FootnoteReference">
    <w:name w:val="footnote reference"/>
    <w:basedOn w:val="DefaultParagraphFont"/>
    <w:uiPriority w:val="99"/>
    <w:semiHidden/>
    <w:rsid w:val="00F6073D"/>
    <w:rPr>
      <w:rFonts w:cs="Times New Roman"/>
      <w:vertAlign w:val="superscript"/>
    </w:rPr>
  </w:style>
  <w:style w:type="paragraph" w:styleId="BodyTextIndent">
    <w:name w:val="Body Text Indent"/>
    <w:basedOn w:val="Normal"/>
    <w:link w:val="BodyTextIndentChar"/>
    <w:uiPriority w:val="99"/>
    <w:rsid w:val="00403070"/>
    <w:pPr>
      <w:tabs>
        <w:tab w:val="left" w:pos="1800"/>
      </w:tabs>
      <w:ind w:left="1800" w:hanging="360"/>
    </w:pPr>
    <w:rPr>
      <w:rFonts w:eastAsia="Times New Roman"/>
      <w:sz w:val="20"/>
      <w:szCs w:val="20"/>
    </w:rPr>
  </w:style>
  <w:style w:type="character" w:customStyle="1" w:styleId="BodyTextIndentChar">
    <w:name w:val="Body Text Indent Char"/>
    <w:basedOn w:val="DefaultParagraphFont"/>
    <w:link w:val="BodyTextIndent"/>
    <w:uiPriority w:val="99"/>
    <w:locked/>
    <w:rsid w:val="00403070"/>
    <w:rPr>
      <w:rFonts w:eastAsia="Times New Roman" w:cs="Times New Roman"/>
      <w:sz w:val="20"/>
    </w:rPr>
  </w:style>
  <w:style w:type="paragraph" w:customStyle="1" w:styleId="ColorfulShading-Accent31">
    <w:name w:val="Colorful Shading - Accent 31"/>
    <w:basedOn w:val="Normal"/>
    <w:uiPriority w:val="99"/>
    <w:rsid w:val="008D2786"/>
    <w:pPr>
      <w:ind w:left="720"/>
      <w:contextualSpacing/>
    </w:pPr>
  </w:style>
  <w:style w:type="paragraph" w:styleId="NormalWeb">
    <w:name w:val="Normal (Web)"/>
    <w:basedOn w:val="Normal"/>
    <w:uiPriority w:val="99"/>
    <w:rsid w:val="00364302"/>
    <w:pPr>
      <w:spacing w:before="100" w:beforeAutospacing="1" w:after="100" w:afterAutospacing="1"/>
    </w:pPr>
    <w:rPr>
      <w:rFonts w:eastAsia="Times New Roman"/>
    </w:rPr>
  </w:style>
  <w:style w:type="paragraph" w:customStyle="1" w:styleId="author">
    <w:name w:val="author"/>
    <w:basedOn w:val="Normal"/>
    <w:uiPriority w:val="99"/>
    <w:rsid w:val="0090092A"/>
    <w:pPr>
      <w:spacing w:before="100" w:beforeAutospacing="1" w:after="100" w:afterAutospacing="1"/>
    </w:pPr>
    <w:rPr>
      <w:rFonts w:eastAsia="Times New Roman"/>
    </w:rPr>
  </w:style>
  <w:style w:type="paragraph" w:customStyle="1" w:styleId="affiliation">
    <w:name w:val="affiliation"/>
    <w:basedOn w:val="Normal"/>
    <w:uiPriority w:val="99"/>
    <w:rsid w:val="0090092A"/>
    <w:pPr>
      <w:spacing w:before="100" w:beforeAutospacing="1" w:after="100" w:afterAutospacing="1"/>
    </w:pPr>
    <w:rPr>
      <w:rFonts w:eastAsia="Times New Roman"/>
    </w:rPr>
  </w:style>
  <w:style w:type="paragraph" w:styleId="Header">
    <w:name w:val="header"/>
    <w:basedOn w:val="Normal"/>
    <w:link w:val="HeaderChar"/>
    <w:uiPriority w:val="99"/>
    <w:rsid w:val="001F15C5"/>
    <w:pPr>
      <w:tabs>
        <w:tab w:val="center" w:pos="4320"/>
        <w:tab w:val="right" w:pos="8640"/>
      </w:tabs>
    </w:pPr>
  </w:style>
  <w:style w:type="character" w:customStyle="1" w:styleId="HeaderChar">
    <w:name w:val="Header Char"/>
    <w:basedOn w:val="DefaultParagraphFont"/>
    <w:link w:val="Header"/>
    <w:uiPriority w:val="99"/>
    <w:semiHidden/>
    <w:locked/>
    <w:rsid w:val="002A6EFA"/>
    <w:rPr>
      <w:rFonts w:cs="Times New Roman"/>
      <w:sz w:val="24"/>
      <w:szCs w:val="24"/>
    </w:rPr>
  </w:style>
  <w:style w:type="paragraph" w:styleId="Footer">
    <w:name w:val="footer"/>
    <w:basedOn w:val="Normal"/>
    <w:link w:val="FooterChar"/>
    <w:uiPriority w:val="99"/>
    <w:rsid w:val="001F15C5"/>
    <w:pPr>
      <w:tabs>
        <w:tab w:val="center" w:pos="4320"/>
        <w:tab w:val="right" w:pos="8640"/>
      </w:tabs>
    </w:pPr>
  </w:style>
  <w:style w:type="character" w:customStyle="1" w:styleId="FooterChar">
    <w:name w:val="Footer Char"/>
    <w:basedOn w:val="DefaultParagraphFont"/>
    <w:link w:val="Footer"/>
    <w:uiPriority w:val="99"/>
    <w:semiHidden/>
    <w:locked/>
    <w:rsid w:val="002A6EFA"/>
    <w:rPr>
      <w:rFonts w:cs="Times New Roman"/>
      <w:sz w:val="24"/>
      <w:szCs w:val="24"/>
    </w:rPr>
  </w:style>
  <w:style w:type="character" w:styleId="PageNumber">
    <w:name w:val="page number"/>
    <w:basedOn w:val="DefaultParagraphFont"/>
    <w:uiPriority w:val="99"/>
    <w:rsid w:val="001F15C5"/>
    <w:rPr>
      <w:rFonts w:cs="Times New Roman"/>
    </w:rPr>
  </w:style>
  <w:style w:type="character" w:styleId="HTMLCite">
    <w:name w:val="HTML Cite"/>
    <w:basedOn w:val="DefaultParagraphFont"/>
    <w:uiPriority w:val="99"/>
    <w:rsid w:val="00221D2E"/>
    <w:rPr>
      <w:rFonts w:cs="Times New Roman"/>
      <w:i/>
    </w:rPr>
  </w:style>
  <w:style w:type="character" w:styleId="CommentReference">
    <w:name w:val="annotation reference"/>
    <w:basedOn w:val="DefaultParagraphFont"/>
    <w:uiPriority w:val="99"/>
    <w:rsid w:val="00E03233"/>
    <w:rPr>
      <w:rFonts w:cs="Times New Roman"/>
      <w:sz w:val="16"/>
    </w:rPr>
  </w:style>
  <w:style w:type="paragraph" w:styleId="CommentText">
    <w:name w:val="annotation text"/>
    <w:basedOn w:val="Normal"/>
    <w:link w:val="CommentTextChar"/>
    <w:uiPriority w:val="99"/>
    <w:rsid w:val="00E03233"/>
    <w:rPr>
      <w:sz w:val="20"/>
      <w:szCs w:val="20"/>
    </w:rPr>
  </w:style>
  <w:style w:type="character" w:customStyle="1" w:styleId="CommentTextChar">
    <w:name w:val="Comment Text Char"/>
    <w:basedOn w:val="DefaultParagraphFont"/>
    <w:link w:val="CommentText"/>
    <w:uiPriority w:val="99"/>
    <w:locked/>
    <w:rsid w:val="00E03233"/>
    <w:rPr>
      <w:rFonts w:cs="Times New Roman"/>
    </w:rPr>
  </w:style>
  <w:style w:type="paragraph" w:styleId="CommentSubject">
    <w:name w:val="annotation subject"/>
    <w:basedOn w:val="CommentText"/>
    <w:next w:val="CommentText"/>
    <w:link w:val="CommentSubjectChar"/>
    <w:uiPriority w:val="99"/>
    <w:rsid w:val="00E03233"/>
    <w:rPr>
      <w:b/>
      <w:bCs/>
    </w:rPr>
  </w:style>
  <w:style w:type="character" w:customStyle="1" w:styleId="CommentSubjectChar">
    <w:name w:val="Comment Subject Char"/>
    <w:basedOn w:val="CommentTextChar"/>
    <w:link w:val="CommentSubject"/>
    <w:uiPriority w:val="99"/>
    <w:locked/>
    <w:rsid w:val="00E03233"/>
    <w:rPr>
      <w:rFonts w:cs="Times New Roman"/>
      <w:b/>
    </w:rPr>
  </w:style>
  <w:style w:type="character" w:styleId="Strong">
    <w:name w:val="Strong"/>
    <w:basedOn w:val="DefaultParagraphFont"/>
    <w:uiPriority w:val="99"/>
    <w:qFormat/>
    <w:locked/>
    <w:rsid w:val="005E69A7"/>
    <w:rPr>
      <w:rFonts w:cs="Times New Roman"/>
      <w:b/>
    </w:rPr>
  </w:style>
  <w:style w:type="paragraph" w:styleId="ListBullet">
    <w:name w:val="List Bullet"/>
    <w:basedOn w:val="Normal"/>
    <w:uiPriority w:val="99"/>
    <w:rsid w:val="0006032F"/>
    <w:pPr>
      <w:contextualSpacing/>
    </w:pPr>
  </w:style>
  <w:style w:type="character" w:customStyle="1" w:styleId="style">
    <w:name w:val="style"/>
    <w:uiPriority w:val="99"/>
    <w:rsid w:val="00102FB0"/>
  </w:style>
  <w:style w:type="character" w:customStyle="1" w:styleId="style1">
    <w:name w:val="style_1"/>
    <w:uiPriority w:val="99"/>
    <w:rsid w:val="00102FB0"/>
  </w:style>
  <w:style w:type="paragraph" w:styleId="ListParagraph">
    <w:name w:val="List Paragraph"/>
    <w:basedOn w:val="Normal"/>
    <w:uiPriority w:val="99"/>
    <w:qFormat/>
    <w:rsid w:val="00EE5354"/>
    <w:pPr>
      <w:ind w:left="720"/>
      <w:contextualSpacing/>
    </w:pPr>
    <w:rPr>
      <w:rFonts w:eastAsia="MS Minngs"/>
    </w:rPr>
  </w:style>
  <w:style w:type="character" w:customStyle="1" w:styleId="url">
    <w:name w:val="url"/>
    <w:uiPriority w:val="99"/>
    <w:rsid w:val="00F27649"/>
  </w:style>
  <w:style w:type="character" w:customStyle="1" w:styleId="citationvolume">
    <w:name w:val="citation_volume"/>
    <w:basedOn w:val="DefaultParagraphFont"/>
    <w:uiPriority w:val="99"/>
    <w:rsid w:val="00FF2A37"/>
    <w:rPr>
      <w:rFonts w:cs="Times New Roman"/>
    </w:rPr>
  </w:style>
  <w:style w:type="character" w:customStyle="1" w:styleId="pagination">
    <w:name w:val="pagination"/>
    <w:rsid w:val="003A3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93184">
      <w:marLeft w:val="0"/>
      <w:marRight w:val="0"/>
      <w:marTop w:val="0"/>
      <w:marBottom w:val="0"/>
      <w:divBdr>
        <w:top w:val="none" w:sz="0" w:space="0" w:color="auto"/>
        <w:left w:val="none" w:sz="0" w:space="0" w:color="auto"/>
        <w:bottom w:val="none" w:sz="0" w:space="0" w:color="auto"/>
        <w:right w:val="none" w:sz="0" w:space="0" w:color="auto"/>
      </w:divBdr>
    </w:div>
    <w:div w:id="1649093185">
      <w:marLeft w:val="0"/>
      <w:marRight w:val="0"/>
      <w:marTop w:val="0"/>
      <w:marBottom w:val="0"/>
      <w:divBdr>
        <w:top w:val="none" w:sz="0" w:space="0" w:color="auto"/>
        <w:left w:val="none" w:sz="0" w:space="0" w:color="auto"/>
        <w:bottom w:val="none" w:sz="0" w:space="0" w:color="auto"/>
        <w:right w:val="none" w:sz="0" w:space="0" w:color="auto"/>
      </w:divBdr>
    </w:div>
    <w:div w:id="1649093187">
      <w:marLeft w:val="0"/>
      <w:marRight w:val="0"/>
      <w:marTop w:val="0"/>
      <w:marBottom w:val="0"/>
      <w:divBdr>
        <w:top w:val="none" w:sz="0" w:space="0" w:color="auto"/>
        <w:left w:val="none" w:sz="0" w:space="0" w:color="auto"/>
        <w:bottom w:val="none" w:sz="0" w:space="0" w:color="auto"/>
        <w:right w:val="none" w:sz="0" w:space="0" w:color="auto"/>
      </w:divBdr>
    </w:div>
    <w:div w:id="1649093191">
      <w:marLeft w:val="0"/>
      <w:marRight w:val="0"/>
      <w:marTop w:val="0"/>
      <w:marBottom w:val="0"/>
      <w:divBdr>
        <w:top w:val="none" w:sz="0" w:space="0" w:color="auto"/>
        <w:left w:val="none" w:sz="0" w:space="0" w:color="auto"/>
        <w:bottom w:val="none" w:sz="0" w:space="0" w:color="auto"/>
        <w:right w:val="none" w:sz="0" w:space="0" w:color="auto"/>
      </w:divBdr>
      <w:divsChild>
        <w:div w:id="1649093189">
          <w:marLeft w:val="0"/>
          <w:marRight w:val="0"/>
          <w:marTop w:val="0"/>
          <w:marBottom w:val="0"/>
          <w:divBdr>
            <w:top w:val="none" w:sz="0" w:space="0" w:color="auto"/>
            <w:left w:val="none" w:sz="0" w:space="0" w:color="auto"/>
            <w:bottom w:val="none" w:sz="0" w:space="0" w:color="auto"/>
            <w:right w:val="none" w:sz="0" w:space="0" w:color="auto"/>
          </w:divBdr>
          <w:divsChild>
            <w:div w:id="1649093186">
              <w:marLeft w:val="0"/>
              <w:marRight w:val="0"/>
              <w:marTop w:val="0"/>
              <w:marBottom w:val="0"/>
              <w:divBdr>
                <w:top w:val="none" w:sz="0" w:space="0" w:color="auto"/>
                <w:left w:val="none" w:sz="0" w:space="0" w:color="auto"/>
                <w:bottom w:val="none" w:sz="0" w:space="0" w:color="auto"/>
                <w:right w:val="none" w:sz="0" w:space="0" w:color="auto"/>
              </w:divBdr>
              <w:divsChild>
                <w:div w:id="16490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3194">
      <w:marLeft w:val="0"/>
      <w:marRight w:val="0"/>
      <w:marTop w:val="0"/>
      <w:marBottom w:val="0"/>
      <w:divBdr>
        <w:top w:val="none" w:sz="0" w:space="0" w:color="auto"/>
        <w:left w:val="none" w:sz="0" w:space="0" w:color="auto"/>
        <w:bottom w:val="none" w:sz="0" w:space="0" w:color="auto"/>
        <w:right w:val="none" w:sz="0" w:space="0" w:color="auto"/>
      </w:divBdr>
    </w:div>
    <w:div w:id="1649093195">
      <w:marLeft w:val="0"/>
      <w:marRight w:val="0"/>
      <w:marTop w:val="0"/>
      <w:marBottom w:val="0"/>
      <w:divBdr>
        <w:top w:val="none" w:sz="0" w:space="0" w:color="auto"/>
        <w:left w:val="none" w:sz="0" w:space="0" w:color="auto"/>
        <w:bottom w:val="none" w:sz="0" w:space="0" w:color="auto"/>
        <w:right w:val="none" w:sz="0" w:space="0" w:color="auto"/>
      </w:divBdr>
    </w:div>
    <w:div w:id="1649093196">
      <w:marLeft w:val="0"/>
      <w:marRight w:val="0"/>
      <w:marTop w:val="0"/>
      <w:marBottom w:val="0"/>
      <w:divBdr>
        <w:top w:val="none" w:sz="0" w:space="0" w:color="auto"/>
        <w:left w:val="none" w:sz="0" w:space="0" w:color="auto"/>
        <w:bottom w:val="none" w:sz="0" w:space="0" w:color="auto"/>
        <w:right w:val="none" w:sz="0" w:space="0" w:color="auto"/>
      </w:divBdr>
    </w:div>
    <w:div w:id="1649093197">
      <w:marLeft w:val="0"/>
      <w:marRight w:val="0"/>
      <w:marTop w:val="0"/>
      <w:marBottom w:val="0"/>
      <w:divBdr>
        <w:top w:val="none" w:sz="0" w:space="0" w:color="auto"/>
        <w:left w:val="none" w:sz="0" w:space="0" w:color="auto"/>
        <w:bottom w:val="none" w:sz="0" w:space="0" w:color="auto"/>
        <w:right w:val="none" w:sz="0" w:space="0" w:color="auto"/>
      </w:divBdr>
    </w:div>
    <w:div w:id="1649093198">
      <w:marLeft w:val="0"/>
      <w:marRight w:val="0"/>
      <w:marTop w:val="0"/>
      <w:marBottom w:val="0"/>
      <w:divBdr>
        <w:top w:val="none" w:sz="0" w:space="0" w:color="auto"/>
        <w:left w:val="none" w:sz="0" w:space="0" w:color="auto"/>
        <w:bottom w:val="none" w:sz="0" w:space="0" w:color="auto"/>
        <w:right w:val="none" w:sz="0" w:space="0" w:color="auto"/>
      </w:divBdr>
    </w:div>
    <w:div w:id="1649093199">
      <w:marLeft w:val="0"/>
      <w:marRight w:val="0"/>
      <w:marTop w:val="0"/>
      <w:marBottom w:val="0"/>
      <w:divBdr>
        <w:top w:val="none" w:sz="0" w:space="0" w:color="auto"/>
        <w:left w:val="none" w:sz="0" w:space="0" w:color="auto"/>
        <w:bottom w:val="none" w:sz="0" w:space="0" w:color="auto"/>
        <w:right w:val="none" w:sz="0" w:space="0" w:color="auto"/>
      </w:divBdr>
    </w:div>
    <w:div w:id="1649093200">
      <w:marLeft w:val="0"/>
      <w:marRight w:val="0"/>
      <w:marTop w:val="0"/>
      <w:marBottom w:val="0"/>
      <w:divBdr>
        <w:top w:val="none" w:sz="0" w:space="0" w:color="auto"/>
        <w:left w:val="none" w:sz="0" w:space="0" w:color="auto"/>
        <w:bottom w:val="none" w:sz="0" w:space="0" w:color="auto"/>
        <w:right w:val="none" w:sz="0" w:space="0" w:color="auto"/>
      </w:divBdr>
      <w:divsChild>
        <w:div w:id="1649093192">
          <w:marLeft w:val="0"/>
          <w:marRight w:val="0"/>
          <w:marTop w:val="0"/>
          <w:marBottom w:val="0"/>
          <w:divBdr>
            <w:top w:val="none" w:sz="0" w:space="0" w:color="auto"/>
            <w:left w:val="none" w:sz="0" w:space="0" w:color="auto"/>
            <w:bottom w:val="none" w:sz="0" w:space="0" w:color="auto"/>
            <w:right w:val="none" w:sz="0" w:space="0" w:color="auto"/>
          </w:divBdr>
          <w:divsChild>
            <w:div w:id="1649093190">
              <w:marLeft w:val="0"/>
              <w:marRight w:val="0"/>
              <w:marTop w:val="0"/>
              <w:marBottom w:val="0"/>
              <w:divBdr>
                <w:top w:val="none" w:sz="0" w:space="0" w:color="auto"/>
                <w:left w:val="none" w:sz="0" w:space="0" w:color="auto"/>
                <w:bottom w:val="none" w:sz="0" w:space="0" w:color="auto"/>
                <w:right w:val="none" w:sz="0" w:space="0" w:color="auto"/>
              </w:divBdr>
              <w:divsChild>
                <w:div w:id="1649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3201">
      <w:marLeft w:val="0"/>
      <w:marRight w:val="0"/>
      <w:marTop w:val="0"/>
      <w:marBottom w:val="0"/>
      <w:divBdr>
        <w:top w:val="none" w:sz="0" w:space="0" w:color="auto"/>
        <w:left w:val="none" w:sz="0" w:space="0" w:color="auto"/>
        <w:bottom w:val="none" w:sz="0" w:space="0" w:color="auto"/>
        <w:right w:val="none" w:sz="0" w:space="0" w:color="auto"/>
      </w:divBdr>
    </w:div>
    <w:div w:id="1649093202">
      <w:marLeft w:val="0"/>
      <w:marRight w:val="0"/>
      <w:marTop w:val="0"/>
      <w:marBottom w:val="0"/>
      <w:divBdr>
        <w:top w:val="none" w:sz="0" w:space="0" w:color="auto"/>
        <w:left w:val="none" w:sz="0" w:space="0" w:color="auto"/>
        <w:bottom w:val="none" w:sz="0" w:space="0" w:color="auto"/>
        <w:right w:val="none" w:sz="0" w:space="0" w:color="auto"/>
      </w:divBdr>
    </w:div>
    <w:div w:id="1649093203">
      <w:marLeft w:val="0"/>
      <w:marRight w:val="0"/>
      <w:marTop w:val="0"/>
      <w:marBottom w:val="0"/>
      <w:divBdr>
        <w:top w:val="none" w:sz="0" w:space="0" w:color="auto"/>
        <w:left w:val="none" w:sz="0" w:space="0" w:color="auto"/>
        <w:bottom w:val="none" w:sz="0" w:space="0" w:color="auto"/>
        <w:right w:val="none" w:sz="0" w:space="0" w:color="auto"/>
      </w:divBdr>
    </w:div>
    <w:div w:id="1649093204">
      <w:marLeft w:val="0"/>
      <w:marRight w:val="0"/>
      <w:marTop w:val="0"/>
      <w:marBottom w:val="0"/>
      <w:divBdr>
        <w:top w:val="none" w:sz="0" w:space="0" w:color="auto"/>
        <w:left w:val="none" w:sz="0" w:space="0" w:color="auto"/>
        <w:bottom w:val="none" w:sz="0" w:space="0" w:color="auto"/>
        <w:right w:val="none" w:sz="0" w:space="0" w:color="auto"/>
      </w:divBdr>
    </w:div>
    <w:div w:id="1649093205">
      <w:marLeft w:val="0"/>
      <w:marRight w:val="0"/>
      <w:marTop w:val="0"/>
      <w:marBottom w:val="0"/>
      <w:divBdr>
        <w:top w:val="none" w:sz="0" w:space="0" w:color="auto"/>
        <w:left w:val="none" w:sz="0" w:space="0" w:color="auto"/>
        <w:bottom w:val="none" w:sz="0" w:space="0" w:color="auto"/>
        <w:right w:val="none" w:sz="0" w:space="0" w:color="auto"/>
      </w:divBdr>
    </w:div>
    <w:div w:id="1649093206">
      <w:marLeft w:val="0"/>
      <w:marRight w:val="0"/>
      <w:marTop w:val="0"/>
      <w:marBottom w:val="0"/>
      <w:divBdr>
        <w:top w:val="none" w:sz="0" w:space="0" w:color="auto"/>
        <w:left w:val="none" w:sz="0" w:space="0" w:color="auto"/>
        <w:bottom w:val="none" w:sz="0" w:space="0" w:color="auto"/>
        <w:right w:val="none" w:sz="0" w:space="0" w:color="auto"/>
      </w:divBdr>
    </w:div>
    <w:div w:id="16490932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rkCapron@PODenergy.net" TargetMode="External"/><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dx.doi.org/10.1016/597j.psep.2012.10.008" TargetMode="External"/><Relationship Id="rId12" Type="http://schemas.openxmlformats.org/officeDocument/2006/relationships/hyperlink" Target="http://dx.doi.org/10.1175/JAMC-D-12-0110.1" TargetMode="External"/><Relationship Id="rId13" Type="http://schemas.openxmlformats.org/officeDocument/2006/relationships/hyperlink" Target="http://abe.ufl.edu/chyn/Webpagecurrent/publications_dc.htm" TargetMode="External"/><Relationship Id="rId14" Type="http://schemas.openxmlformats.org/officeDocument/2006/relationships/hyperlink" Target="http://unfccc.int/files/meetings/cop_16/application/pdf/cop16_cmp_ccs.pdf" TargetMode="External"/><Relationship Id="rId15" Type="http://schemas.openxmlformats.org/officeDocument/2006/relationships/hyperlink" Target="http://ict.sopac.org/VirLib/MR0677.pdf" TargetMode="External"/><Relationship Id="rId16" Type="http://schemas.openxmlformats.org/officeDocument/2006/relationships/hyperlink" Target="http://www.aquafuels.eu/attachments/076_11%20-%20H.Reith%20-%20From%20seaweed%20to%20fuel.pdf" TargetMode="External"/><Relationship Id="rId17" Type="http://schemas.openxmlformats.org/officeDocument/2006/relationships/hyperlink" Target="http://www.oilgae.com/ref/report/report.html"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6597</Words>
  <Characters>37605</Characters>
  <Application>Microsoft Macintosh Word</Application>
  <DocSecurity>0</DocSecurity>
  <Lines>313</Lines>
  <Paragraphs>88</Paragraphs>
  <ScaleCrop>false</ScaleCrop>
  <Company/>
  <LinksUpToDate>false</LinksUpToDate>
  <CharactersWithSpaces>44114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Capture and Storage via Ocean Afforestation</dc:title>
  <dc:subject/>
  <dc:creator>Mohammed</dc:creator>
  <cp:keywords/>
  <dc:description/>
  <cp:lastModifiedBy>Jim Stewart</cp:lastModifiedBy>
  <cp:revision>7</cp:revision>
  <cp:lastPrinted>2012-12-04T18:21:00Z</cp:lastPrinted>
  <dcterms:created xsi:type="dcterms:W3CDTF">2012-12-03T05:16:00Z</dcterms:created>
  <dcterms:modified xsi:type="dcterms:W3CDTF">2012-12-04T18:22:00Z</dcterms:modified>
</cp:coreProperties>
</file>