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F530C9" w14:textId="38687291" w:rsidR="00F91AD0" w:rsidRPr="00F91AD0" w:rsidRDefault="00F91AD0" w:rsidP="00F91AD0">
      <w:pPr>
        <w:shd w:val="clear" w:color="auto" w:fill="FFFFFF"/>
        <w:spacing w:afterLines="120" w:after="288"/>
        <w:jc w:val="center"/>
        <w:rPr>
          <w:rFonts w:ascii="Arial" w:eastAsia="Times New Roman" w:hAnsi="Arial" w:cs="Arial"/>
          <w:color w:val="222222"/>
          <w:sz w:val="24"/>
          <w:szCs w:val="24"/>
        </w:rPr>
      </w:pPr>
      <w:r w:rsidRPr="00F91AD0">
        <w:rPr>
          <w:rFonts w:ascii="Arial" w:eastAsia="Times New Roman" w:hAnsi="Arial" w:cs="Arial"/>
          <w:color w:val="222222"/>
          <w:sz w:val="36"/>
          <w:szCs w:val="36"/>
        </w:rPr>
        <w:t>COMMENTS ON CALIFORNIA'S PLANS TO ACHIEVE CARBON NEUTRALITY BY 2045</w:t>
      </w:r>
    </w:p>
    <w:p w14:paraId="6A08DA12" w14:textId="1A000230" w:rsidR="00F91AD0" w:rsidRDefault="00F91AD0" w:rsidP="009F29DE">
      <w:pPr>
        <w:shd w:val="clear" w:color="auto" w:fill="FFFFFF"/>
        <w:spacing w:afterLines="120" w:after="288"/>
        <w:jc w:val="center"/>
        <w:rPr>
          <w:rFonts w:ascii="Arial" w:eastAsia="Times New Roman" w:hAnsi="Arial" w:cs="Arial"/>
          <w:color w:val="222222"/>
          <w:sz w:val="24"/>
          <w:szCs w:val="24"/>
        </w:rPr>
      </w:pPr>
      <w:r w:rsidRPr="00F91AD0">
        <w:rPr>
          <w:rFonts w:ascii="Arial" w:eastAsia="Times New Roman" w:hAnsi="Arial" w:cs="Arial"/>
          <w:color w:val="222222"/>
          <w:sz w:val="24"/>
          <w:szCs w:val="24"/>
        </w:rPr>
        <w:t>Dr. Sigmund Gronich and Dr. Matthew Langholtz (ORNL)</w:t>
      </w:r>
    </w:p>
    <w:p w14:paraId="62914BC2" w14:textId="77777777" w:rsidR="00FE232A" w:rsidRDefault="00FE232A" w:rsidP="00F91AD0">
      <w:pPr>
        <w:shd w:val="clear" w:color="auto" w:fill="FFFFFF"/>
        <w:spacing w:afterLines="120" w:after="288"/>
        <w:rPr>
          <w:rFonts w:ascii="Arial" w:eastAsia="Times New Roman" w:hAnsi="Arial" w:cs="Arial"/>
          <w:color w:val="222222"/>
          <w:sz w:val="24"/>
          <w:szCs w:val="24"/>
        </w:rPr>
      </w:pPr>
    </w:p>
    <w:p w14:paraId="31F4F84E" w14:textId="100D2000" w:rsidR="00F91AD0" w:rsidRPr="00F91AD0" w:rsidRDefault="00F91AD0" w:rsidP="00F91AD0">
      <w:pPr>
        <w:shd w:val="clear" w:color="auto" w:fill="FFFFFF"/>
        <w:spacing w:afterLines="120" w:after="288"/>
        <w:rPr>
          <w:rFonts w:ascii="Arial" w:eastAsia="Times New Roman" w:hAnsi="Arial" w:cs="Arial"/>
          <w:color w:val="222222"/>
          <w:sz w:val="24"/>
          <w:szCs w:val="24"/>
        </w:rPr>
      </w:pPr>
      <w:r w:rsidRPr="00F91AD0">
        <w:rPr>
          <w:rFonts w:ascii="Arial" w:eastAsia="Times New Roman" w:hAnsi="Arial" w:cs="Arial"/>
          <w:color w:val="222222"/>
          <w:sz w:val="24"/>
          <w:szCs w:val="24"/>
        </w:rPr>
        <w:t>The CARB staff presented their approach to achieving 40 percent emission reductions by 2030 and carbon neutrality by 2045. The draft scenario overview referred to four scenarios: where Alternative 1 had no reliance on engineered carbon removal, Alternatives 2 to 4, (2) had including engineered carbon removal, (3) emerging fossil fuel alternatives, and (4) utilizing existing and emerging technologies, in line with recent agency reports (AB 74 carbon neutrality in transportation, SB 100 zero-carbon electricity grid).</w:t>
      </w:r>
    </w:p>
    <w:p w14:paraId="2FA41B2A" w14:textId="4DAB9164" w:rsidR="00F91AD0" w:rsidRPr="00F91AD0" w:rsidRDefault="00F91AD0" w:rsidP="00F91AD0">
      <w:pPr>
        <w:shd w:val="clear" w:color="auto" w:fill="FFFFFF"/>
        <w:spacing w:afterLines="120" w:after="288"/>
        <w:rPr>
          <w:rFonts w:ascii="Arial" w:eastAsia="Times New Roman" w:hAnsi="Arial" w:cs="Arial"/>
          <w:color w:val="222222"/>
          <w:sz w:val="24"/>
          <w:szCs w:val="24"/>
        </w:rPr>
      </w:pPr>
      <w:r w:rsidRPr="00F91AD0">
        <w:rPr>
          <w:rFonts w:ascii="Arial" w:eastAsia="Times New Roman" w:hAnsi="Arial" w:cs="Arial"/>
          <w:color w:val="222222"/>
          <w:sz w:val="24"/>
          <w:szCs w:val="24"/>
        </w:rPr>
        <w:t>In the Staff's request for stakeholder feedback, they asked for comments on whether different scenarios be considered and are there technology and fuel options not presented that should be considered in the modeling?</w:t>
      </w:r>
    </w:p>
    <w:p w14:paraId="7C31816D" w14:textId="72449F98" w:rsidR="00F91AD0" w:rsidRPr="00F91AD0" w:rsidRDefault="00F91AD0" w:rsidP="00F91AD0">
      <w:pPr>
        <w:shd w:val="clear" w:color="auto" w:fill="FFFFFF"/>
        <w:spacing w:afterLines="120" w:after="288"/>
        <w:rPr>
          <w:rFonts w:ascii="Arial" w:eastAsia="Times New Roman" w:hAnsi="Arial" w:cs="Arial"/>
          <w:color w:val="222222"/>
          <w:sz w:val="24"/>
          <w:szCs w:val="24"/>
        </w:rPr>
      </w:pPr>
      <w:r w:rsidRPr="00F91AD0">
        <w:rPr>
          <w:rFonts w:ascii="Arial" w:eastAsia="Times New Roman" w:hAnsi="Arial" w:cs="Arial"/>
          <w:color w:val="222222"/>
          <w:sz w:val="24"/>
          <w:szCs w:val="24"/>
        </w:rPr>
        <w:t xml:space="preserve">Most plans began to recognize the need to remove carbon dioxide from the air as part of the final solution for the long term in addition to wind/solar options. It is also apparent that the recent climate change talks did not produce the reduction results desired and necessary with countries such as India falling short on their commitments. </w:t>
      </w:r>
      <w:proofErr w:type="gramStart"/>
      <w:r w:rsidRPr="00F91AD0">
        <w:rPr>
          <w:rFonts w:ascii="Arial" w:eastAsia="Times New Roman" w:hAnsi="Arial" w:cs="Arial"/>
          <w:color w:val="222222"/>
          <w:sz w:val="24"/>
          <w:szCs w:val="24"/>
        </w:rPr>
        <w:t>So</w:t>
      </w:r>
      <w:proofErr w:type="gramEnd"/>
      <w:r w:rsidRPr="00F91AD0">
        <w:rPr>
          <w:rFonts w:ascii="Arial" w:eastAsia="Times New Roman" w:hAnsi="Arial" w:cs="Arial"/>
          <w:color w:val="222222"/>
          <w:sz w:val="24"/>
          <w:szCs w:val="24"/>
        </w:rPr>
        <w:t xml:space="preserve"> Alternatives 2 – 4 therefore become very relevant to be considered as an alternative to removing carbon dioxide from the air.</w:t>
      </w:r>
    </w:p>
    <w:p w14:paraId="205B64E3" w14:textId="58070975" w:rsidR="00F91AD0" w:rsidRPr="00F91AD0" w:rsidRDefault="00F91AD0" w:rsidP="00F91AD0">
      <w:pPr>
        <w:shd w:val="clear" w:color="auto" w:fill="FFFFFF"/>
        <w:spacing w:afterLines="120" w:after="288"/>
        <w:rPr>
          <w:rFonts w:ascii="Arial" w:eastAsia="Times New Roman" w:hAnsi="Arial" w:cs="Arial"/>
          <w:color w:val="222222"/>
          <w:sz w:val="24"/>
          <w:szCs w:val="24"/>
        </w:rPr>
      </w:pPr>
      <w:r w:rsidRPr="00F91AD0">
        <w:rPr>
          <w:rFonts w:ascii="Arial" w:eastAsia="Times New Roman" w:hAnsi="Arial" w:cs="Arial"/>
          <w:color w:val="222222"/>
          <w:sz w:val="24"/>
          <w:szCs w:val="24"/>
        </w:rPr>
        <w:t xml:space="preserve">The following comments concerning carbon capture, </w:t>
      </w:r>
      <w:proofErr w:type="gramStart"/>
      <w:r w:rsidRPr="00F91AD0">
        <w:rPr>
          <w:rFonts w:ascii="Arial" w:eastAsia="Times New Roman" w:hAnsi="Arial" w:cs="Arial"/>
          <w:color w:val="222222"/>
          <w:sz w:val="24"/>
          <w:szCs w:val="24"/>
        </w:rPr>
        <w:t>utilization</w:t>
      </w:r>
      <w:proofErr w:type="gramEnd"/>
      <w:r w:rsidRPr="00F91AD0">
        <w:rPr>
          <w:rFonts w:ascii="Arial" w:eastAsia="Times New Roman" w:hAnsi="Arial" w:cs="Arial"/>
          <w:color w:val="222222"/>
          <w:sz w:val="24"/>
          <w:szCs w:val="24"/>
        </w:rPr>
        <w:t xml:space="preserve"> and sequestration (CC</w:t>
      </w:r>
      <w:r w:rsidR="009F29DE">
        <w:rPr>
          <w:rFonts w:ascii="Arial" w:eastAsia="Times New Roman" w:hAnsi="Arial" w:cs="Arial"/>
          <w:color w:val="222222"/>
          <w:sz w:val="24"/>
          <w:szCs w:val="24"/>
        </w:rPr>
        <w:t>U</w:t>
      </w:r>
      <w:r w:rsidRPr="00F91AD0">
        <w:rPr>
          <w:rFonts w:ascii="Arial" w:eastAsia="Times New Roman" w:hAnsi="Arial" w:cs="Arial"/>
          <w:color w:val="222222"/>
          <w:sz w:val="24"/>
          <w:szCs w:val="24"/>
        </w:rPr>
        <w:t>S) options are provided in response to the above request:</w:t>
      </w:r>
    </w:p>
    <w:p w14:paraId="23128F5D" w14:textId="626FB5D7" w:rsidR="00F91AD0" w:rsidRPr="00F91AD0" w:rsidRDefault="00F91AD0" w:rsidP="00F91AD0">
      <w:pPr>
        <w:numPr>
          <w:ilvl w:val="0"/>
          <w:numId w:val="3"/>
        </w:numPr>
        <w:shd w:val="clear" w:color="auto" w:fill="FFFFFF"/>
        <w:spacing w:afterLines="120" w:after="288"/>
        <w:rPr>
          <w:rFonts w:ascii="Arial" w:eastAsia="Times New Roman" w:hAnsi="Arial" w:cs="Arial"/>
          <w:color w:val="222222"/>
          <w:sz w:val="24"/>
          <w:szCs w:val="24"/>
        </w:rPr>
      </w:pPr>
      <w:r w:rsidRPr="00F91AD0">
        <w:rPr>
          <w:rFonts w:ascii="Arial" w:eastAsia="Times New Roman" w:hAnsi="Arial" w:cs="Arial"/>
          <w:color w:val="222222"/>
          <w:sz w:val="24"/>
          <w:szCs w:val="24"/>
        </w:rPr>
        <w:t>The plan should not be limited to growing biomass solely in California. Oak Ridge National Laboratory has looked at the amount of biomass being available nationally and published “The Billion Ton Biomass” report. The report identifies &gt;300 million tons per year from wastes and residues and &gt;400 million tons per year from dedicated biomass production, e. g. poplar trees on marginal lands. SG H2 Energy is developing the largest green hydrogen production facility in Lancaster, CA to use wastes and reduce carbon and importantly methane emissions which is a very potent polluting element. There are many other systems also being developed for carbon dioxide reductions from waste.</w:t>
      </w:r>
    </w:p>
    <w:p w14:paraId="222EC33E" w14:textId="20F0E54A" w:rsidR="00F91AD0" w:rsidRPr="00F91AD0" w:rsidRDefault="00F91AD0" w:rsidP="00F91AD0">
      <w:pPr>
        <w:numPr>
          <w:ilvl w:val="0"/>
          <w:numId w:val="3"/>
        </w:numPr>
        <w:shd w:val="clear" w:color="auto" w:fill="FFFFFF"/>
        <w:spacing w:afterLines="120" w:after="288"/>
        <w:rPr>
          <w:rFonts w:ascii="Arial" w:eastAsia="Times New Roman" w:hAnsi="Arial" w:cs="Arial"/>
          <w:color w:val="222222"/>
          <w:sz w:val="24"/>
          <w:szCs w:val="24"/>
        </w:rPr>
      </w:pPr>
      <w:r w:rsidRPr="00F91AD0">
        <w:rPr>
          <w:rFonts w:ascii="Arial" w:eastAsia="Times New Roman" w:hAnsi="Arial" w:cs="Arial"/>
          <w:color w:val="222222"/>
          <w:sz w:val="24"/>
          <w:szCs w:val="24"/>
        </w:rPr>
        <w:t xml:space="preserve">ORNL is currently exploring biomass gasification to renewable natural gas (RNG) in connection with Poplar tree sources that could then be transported with natural gas by natural gas pipeline nationally. A mixture of 10% RNG with 90% NG could be considered which would represent a lesser need for existing pipeline modifications and permit the use of lower cost natural gas. This plan would require a </w:t>
      </w:r>
      <w:r w:rsidR="00904012" w:rsidRPr="00F91AD0">
        <w:rPr>
          <w:rFonts w:ascii="Arial" w:eastAsia="Times New Roman" w:hAnsi="Arial" w:cs="Arial"/>
          <w:color w:val="222222"/>
          <w:sz w:val="24"/>
          <w:szCs w:val="24"/>
        </w:rPr>
        <w:t>bookkeeping</w:t>
      </w:r>
      <w:r w:rsidRPr="00F91AD0">
        <w:rPr>
          <w:rFonts w:ascii="Arial" w:eastAsia="Times New Roman" w:hAnsi="Arial" w:cs="Arial"/>
          <w:color w:val="222222"/>
          <w:sz w:val="24"/>
          <w:szCs w:val="24"/>
        </w:rPr>
        <w:t xml:space="preserve"> option as the RNG gas produced in Kentucky might not </w:t>
      </w:r>
      <w:r w:rsidRPr="00F91AD0">
        <w:rPr>
          <w:rFonts w:ascii="Arial" w:eastAsia="Times New Roman" w:hAnsi="Arial" w:cs="Arial"/>
          <w:color w:val="222222"/>
          <w:sz w:val="24"/>
          <w:szCs w:val="24"/>
        </w:rPr>
        <w:lastRenderedPageBreak/>
        <w:t>actually reach California but would be attributable to the State's goals. With the production of RNG with CCUS, carbon dioxide would actually be removed from the air which is becoming a more recognizable strategy than removing carbon dioxide from the air.</w:t>
      </w:r>
    </w:p>
    <w:p w14:paraId="7E737D70" w14:textId="6E5A4845" w:rsidR="00F91AD0" w:rsidRPr="00F91AD0" w:rsidRDefault="00F91AD0" w:rsidP="00F91AD0">
      <w:pPr>
        <w:numPr>
          <w:ilvl w:val="0"/>
          <w:numId w:val="3"/>
        </w:numPr>
        <w:shd w:val="clear" w:color="auto" w:fill="FFFFFF"/>
        <w:spacing w:afterLines="120" w:after="288"/>
        <w:rPr>
          <w:rFonts w:ascii="Arial" w:eastAsia="Times New Roman" w:hAnsi="Arial" w:cs="Arial"/>
          <w:color w:val="222222"/>
          <w:sz w:val="24"/>
          <w:szCs w:val="24"/>
        </w:rPr>
      </w:pPr>
      <w:r w:rsidRPr="00F91AD0">
        <w:rPr>
          <w:rFonts w:ascii="Arial" w:eastAsia="Times New Roman" w:hAnsi="Arial" w:cs="Arial"/>
          <w:color w:val="222222"/>
          <w:sz w:val="24"/>
          <w:szCs w:val="24"/>
        </w:rPr>
        <w:t xml:space="preserve">An approach within the State of California should be to consider City-Gate plants that would coproduce electricity with hydrogen storage for base load operation and the production of hydrogen for fueling hydrogen fuel cell vehicles. Such an option would minimize electric transmission distances but also permit the hydrogen to be compressed to 14,000 psi for transportation to city hydrogen stations with some liquefaction considered for fueling large trucks, </w:t>
      </w:r>
      <w:proofErr w:type="gramStart"/>
      <w:r w:rsidRPr="00F91AD0">
        <w:rPr>
          <w:rFonts w:ascii="Arial" w:eastAsia="Times New Roman" w:hAnsi="Arial" w:cs="Arial"/>
          <w:color w:val="222222"/>
          <w:sz w:val="24"/>
          <w:szCs w:val="24"/>
        </w:rPr>
        <w:t>busses</w:t>
      </w:r>
      <w:proofErr w:type="gramEnd"/>
      <w:r w:rsidRPr="00F91AD0">
        <w:rPr>
          <w:rFonts w:ascii="Arial" w:eastAsia="Times New Roman" w:hAnsi="Arial" w:cs="Arial"/>
          <w:color w:val="222222"/>
          <w:sz w:val="24"/>
          <w:szCs w:val="24"/>
        </w:rPr>
        <w:t xml:space="preserve"> and trains. The latter is more costly but maybe necessary to fuel such large vehicles. By shipping high pressure hydrogen, a more economic approach is possible to meet target prices at the station of $3 to 5/kg for passenger vehicles.</w:t>
      </w:r>
    </w:p>
    <w:p w14:paraId="79453F38" w14:textId="050FA84C" w:rsidR="00F91AD0" w:rsidRPr="00F91AD0" w:rsidRDefault="00F91AD0" w:rsidP="00F91AD0">
      <w:pPr>
        <w:numPr>
          <w:ilvl w:val="0"/>
          <w:numId w:val="3"/>
        </w:numPr>
        <w:shd w:val="clear" w:color="auto" w:fill="FFFFFF"/>
        <w:spacing w:afterLines="120" w:after="288"/>
        <w:rPr>
          <w:rFonts w:ascii="Arial" w:eastAsia="Times New Roman" w:hAnsi="Arial" w:cs="Arial"/>
          <w:color w:val="222222"/>
          <w:sz w:val="24"/>
          <w:szCs w:val="24"/>
        </w:rPr>
      </w:pPr>
      <w:r w:rsidRPr="00F91AD0">
        <w:rPr>
          <w:rFonts w:ascii="Arial" w:eastAsia="Times New Roman" w:hAnsi="Arial" w:cs="Arial"/>
          <w:color w:val="222222"/>
          <w:sz w:val="24"/>
          <w:szCs w:val="24"/>
        </w:rPr>
        <w:t>Mitsubishi turbines is developing a 3100 F hydrogen turbine that should be available by the 2030s. They are providing such a 400 MW turbine system to LADWP to be installed in Utah with transmission to California. Solid Oxide Fuel Cells are also being developed and demonstrated today and in this period for consideration as the preferred operating systems. Both of these high technology options need to be considered with the ability to recover water from the turbine exhausts and fuel cells. The alternative approach of using Solar/Wind will require the electrolysis of water which will be difficult to do in a State with a water crisis. The turbine and fuel cell approaches may actually be able to provide water to the State.</w:t>
      </w:r>
    </w:p>
    <w:p w14:paraId="27F7EEF8" w14:textId="2102A373" w:rsidR="007945A1" w:rsidRDefault="00F91AD0" w:rsidP="007945A1">
      <w:pPr>
        <w:numPr>
          <w:ilvl w:val="0"/>
          <w:numId w:val="3"/>
        </w:numPr>
        <w:shd w:val="clear" w:color="auto" w:fill="FFFFFF"/>
        <w:spacing w:afterLines="120" w:after="288"/>
        <w:rPr>
          <w:rFonts w:ascii="Arial" w:eastAsia="Times New Roman" w:hAnsi="Arial" w:cs="Arial"/>
          <w:color w:val="222222"/>
          <w:sz w:val="24"/>
          <w:szCs w:val="24"/>
        </w:rPr>
      </w:pPr>
      <w:r w:rsidRPr="00F91AD0">
        <w:rPr>
          <w:rFonts w:ascii="Arial" w:eastAsia="Times New Roman" w:hAnsi="Arial" w:cs="Arial"/>
          <w:color w:val="222222"/>
          <w:sz w:val="24"/>
          <w:szCs w:val="24"/>
        </w:rPr>
        <w:t xml:space="preserve">The location of CCUS sites should closely follow the plan laid out in: “An Action Plan for Carbon Capture and Storage in California: Opportunities, Challenges and Solutions, October 2020” This was a report produced by Energy Future Initiative (headed by Ernest Moniz (previous Secretary of Energy), Stanford </w:t>
      </w:r>
      <w:proofErr w:type="spellStart"/>
      <w:r w:rsidRPr="00F91AD0">
        <w:rPr>
          <w:rFonts w:ascii="Arial" w:eastAsia="Times New Roman" w:hAnsi="Arial" w:cs="Arial"/>
          <w:color w:val="222222"/>
          <w:sz w:val="24"/>
          <w:szCs w:val="24"/>
        </w:rPr>
        <w:t>Precourt</w:t>
      </w:r>
      <w:proofErr w:type="spellEnd"/>
      <w:r w:rsidRPr="00F91AD0">
        <w:rPr>
          <w:rFonts w:ascii="Arial" w:eastAsia="Times New Roman" w:hAnsi="Arial" w:cs="Arial"/>
          <w:color w:val="222222"/>
          <w:sz w:val="24"/>
          <w:szCs w:val="24"/>
        </w:rPr>
        <w:t xml:space="preserve"> Institute for Energy and Stanford Earth. It purports to present “a clean technology pathway well suited for rapidly reducing emissions from economically vital sectors in California </w:t>
      </w:r>
      <w:proofErr w:type="gramStart"/>
      <w:r w:rsidRPr="00F91AD0">
        <w:rPr>
          <w:rFonts w:ascii="Arial" w:eastAsia="Times New Roman" w:hAnsi="Arial" w:cs="Arial"/>
          <w:color w:val="222222"/>
          <w:sz w:val="24"/>
          <w:szCs w:val="24"/>
        </w:rPr>
        <w:t>---- .</w:t>
      </w:r>
      <w:proofErr w:type="gramEnd"/>
      <w:r w:rsidRPr="00F91AD0">
        <w:rPr>
          <w:rFonts w:ascii="Arial" w:eastAsia="Times New Roman" w:hAnsi="Arial" w:cs="Arial"/>
          <w:color w:val="222222"/>
          <w:sz w:val="24"/>
          <w:szCs w:val="24"/>
        </w:rPr>
        <w:t>” and “ California has opportunities to advance its decarbonization and economic goals by leveraging CC</w:t>
      </w:r>
      <w:r w:rsidR="009F29DE">
        <w:rPr>
          <w:rFonts w:ascii="Arial" w:eastAsia="Times New Roman" w:hAnsi="Arial" w:cs="Arial"/>
          <w:color w:val="222222"/>
          <w:sz w:val="24"/>
          <w:szCs w:val="24"/>
        </w:rPr>
        <w:t>U</w:t>
      </w:r>
      <w:r w:rsidRPr="00F91AD0">
        <w:rPr>
          <w:rFonts w:ascii="Arial" w:eastAsia="Times New Roman" w:hAnsi="Arial" w:cs="Arial"/>
          <w:color w:val="222222"/>
          <w:sz w:val="24"/>
          <w:szCs w:val="24"/>
        </w:rPr>
        <w:t>S due to its sizable geologic storage resources; its need for clean firm electricity generation as the renewable energy profile grows; the need for decarbonized transportation fuels such as hydrogen; ----”.</w:t>
      </w:r>
    </w:p>
    <w:p w14:paraId="0E2AF769" w14:textId="3AF34144" w:rsidR="00F91AD0" w:rsidRPr="007945A1" w:rsidRDefault="00F91AD0" w:rsidP="007945A1">
      <w:pPr>
        <w:shd w:val="clear" w:color="auto" w:fill="FFFFFF"/>
        <w:spacing w:afterLines="120" w:after="288"/>
        <w:ind w:left="720"/>
        <w:rPr>
          <w:rFonts w:ascii="Arial" w:eastAsia="Times New Roman" w:hAnsi="Arial" w:cs="Arial"/>
          <w:color w:val="222222"/>
          <w:sz w:val="24"/>
          <w:szCs w:val="24"/>
        </w:rPr>
      </w:pPr>
      <w:r w:rsidRPr="007945A1">
        <w:rPr>
          <w:rFonts w:ascii="Arial" w:eastAsia="Times New Roman" w:hAnsi="Arial" w:cs="Arial"/>
          <w:color w:val="222222"/>
          <w:sz w:val="24"/>
          <w:szCs w:val="24"/>
        </w:rPr>
        <w:t>The report also finds: “adding NGCCs with CCS retrofit to a renewables-dominated grid is a cost-effective way for California to meet SB100 objectives. Adding NGCC-CCS lowers the overall system costs by avoiding the need to overbuild renewable generation and energy storage to</w:t>
      </w:r>
      <w:r w:rsidR="00904012">
        <w:rPr>
          <w:rFonts w:ascii="Arial" w:eastAsia="Times New Roman" w:hAnsi="Arial" w:cs="Arial"/>
          <w:color w:val="222222"/>
          <w:sz w:val="24"/>
          <w:szCs w:val="24"/>
        </w:rPr>
        <w:t xml:space="preserve"> </w:t>
      </w:r>
      <w:r w:rsidRPr="007945A1">
        <w:rPr>
          <w:rFonts w:ascii="Arial" w:eastAsia="Times New Roman" w:hAnsi="Arial" w:cs="Arial"/>
          <w:color w:val="222222"/>
          <w:sz w:val="24"/>
          <w:szCs w:val="24"/>
        </w:rPr>
        <w:t xml:space="preserve">meet reliability requirements. Adding some NGCC-CCS also has benefit of reducing land use requirements for renewable generation.” page 43. </w:t>
      </w:r>
      <w:r w:rsidR="00904012" w:rsidRPr="007945A1">
        <w:rPr>
          <w:rFonts w:ascii="Arial" w:eastAsia="Times New Roman" w:hAnsi="Arial" w:cs="Arial"/>
          <w:color w:val="222222"/>
          <w:sz w:val="24"/>
          <w:szCs w:val="24"/>
        </w:rPr>
        <w:t>“Facilities</w:t>
      </w:r>
      <w:r w:rsidRPr="007945A1">
        <w:rPr>
          <w:rFonts w:ascii="Arial" w:eastAsia="Times New Roman" w:hAnsi="Arial" w:cs="Arial"/>
          <w:color w:val="222222"/>
          <w:sz w:val="24"/>
          <w:szCs w:val="24"/>
        </w:rPr>
        <w:t xml:space="preserve"> that are co-located directly above a potential storage resource account for up</w:t>
      </w:r>
      <w:r w:rsidR="00904012">
        <w:rPr>
          <w:rFonts w:ascii="Arial" w:eastAsia="Times New Roman" w:hAnsi="Arial" w:cs="Arial"/>
          <w:color w:val="222222"/>
          <w:sz w:val="24"/>
          <w:szCs w:val="24"/>
        </w:rPr>
        <w:t xml:space="preserve"> </w:t>
      </w:r>
      <w:r w:rsidRPr="007945A1">
        <w:rPr>
          <w:rFonts w:ascii="Arial" w:eastAsia="Times New Roman" w:hAnsi="Arial" w:cs="Arial"/>
          <w:color w:val="222222"/>
          <w:sz w:val="24"/>
          <w:szCs w:val="24"/>
        </w:rPr>
        <w:t>to 5.6 MtCO2yr. Of emissions” (page 43).</w:t>
      </w:r>
    </w:p>
    <w:p w14:paraId="6294D844" w14:textId="78659BE5" w:rsidR="00F91AD0" w:rsidRPr="00F91AD0" w:rsidRDefault="00F91AD0" w:rsidP="00F91AD0">
      <w:pPr>
        <w:numPr>
          <w:ilvl w:val="0"/>
          <w:numId w:val="3"/>
        </w:numPr>
        <w:shd w:val="clear" w:color="auto" w:fill="FFFFFF"/>
        <w:spacing w:afterLines="120" w:after="288"/>
        <w:rPr>
          <w:rFonts w:ascii="Arial" w:eastAsia="Times New Roman" w:hAnsi="Arial" w:cs="Arial"/>
          <w:color w:val="222222"/>
          <w:sz w:val="24"/>
          <w:szCs w:val="24"/>
        </w:rPr>
      </w:pPr>
      <w:r w:rsidRPr="00F91AD0">
        <w:rPr>
          <w:rFonts w:ascii="Arial" w:eastAsia="Times New Roman" w:hAnsi="Arial" w:cs="Arial"/>
          <w:color w:val="222222"/>
          <w:sz w:val="24"/>
          <w:szCs w:val="24"/>
        </w:rPr>
        <w:lastRenderedPageBreak/>
        <w:t xml:space="preserve">By considering a 10% RNG/90%NG gas mixture with CCUS, carbon dioxide is actually being removed from the air. And it should be a more </w:t>
      </w:r>
      <w:r w:rsidR="00904012" w:rsidRPr="00F91AD0">
        <w:rPr>
          <w:rFonts w:ascii="Arial" w:eastAsia="Times New Roman" w:hAnsi="Arial" w:cs="Arial"/>
          <w:color w:val="222222"/>
          <w:sz w:val="24"/>
          <w:szCs w:val="24"/>
        </w:rPr>
        <w:t>cost-effective</w:t>
      </w:r>
      <w:r w:rsidRPr="00F91AD0">
        <w:rPr>
          <w:rFonts w:ascii="Arial" w:eastAsia="Times New Roman" w:hAnsi="Arial" w:cs="Arial"/>
          <w:color w:val="222222"/>
          <w:sz w:val="24"/>
          <w:szCs w:val="24"/>
        </w:rPr>
        <w:t xml:space="preserve"> approach than considering removing carbon dioxide from the air to achieve eventual carbon dioxide reductions that will be necessary.</w:t>
      </w:r>
    </w:p>
    <w:p w14:paraId="03398505" w14:textId="5A1363C8" w:rsidR="00F91AD0" w:rsidRDefault="00F91AD0" w:rsidP="00F91AD0">
      <w:pPr>
        <w:shd w:val="clear" w:color="auto" w:fill="FFFFFF"/>
        <w:spacing w:afterLines="120" w:after="288"/>
        <w:rPr>
          <w:rFonts w:ascii="Arial" w:eastAsia="Times New Roman" w:hAnsi="Arial" w:cs="Arial"/>
          <w:color w:val="222222"/>
          <w:sz w:val="24"/>
          <w:szCs w:val="24"/>
        </w:rPr>
      </w:pPr>
      <w:r w:rsidRPr="00F91AD0">
        <w:rPr>
          <w:rFonts w:ascii="Arial" w:eastAsia="Times New Roman" w:hAnsi="Arial" w:cs="Arial"/>
          <w:color w:val="222222"/>
          <w:sz w:val="24"/>
          <w:szCs w:val="24"/>
        </w:rPr>
        <w:t xml:space="preserve">While the State plan includes Alternatives 2 to 4, the results of current efforts seem to produce a Solar/Wind dominant option which the above argues against. </w:t>
      </w:r>
      <w:r w:rsidR="00904012" w:rsidRPr="00F91AD0">
        <w:rPr>
          <w:rFonts w:ascii="Arial" w:eastAsia="Times New Roman" w:hAnsi="Arial" w:cs="Arial"/>
          <w:color w:val="222222"/>
          <w:sz w:val="24"/>
          <w:szCs w:val="24"/>
        </w:rPr>
        <w:t>Therefore,</w:t>
      </w:r>
      <w:r w:rsidRPr="00F91AD0">
        <w:rPr>
          <w:rFonts w:ascii="Arial" w:eastAsia="Times New Roman" w:hAnsi="Arial" w:cs="Arial"/>
          <w:color w:val="222222"/>
          <w:sz w:val="24"/>
          <w:szCs w:val="24"/>
        </w:rPr>
        <w:t xml:space="preserve"> it is recommended that the above be included to possibly identify a lower cost, better system utilization and more attractive environmental option including water conservation be evaluated as part of Alternatives 2 to 4.</w:t>
      </w:r>
    </w:p>
    <w:p w14:paraId="4C3F2B2F" w14:textId="77777777" w:rsidR="007945A1" w:rsidRPr="007945A1" w:rsidRDefault="007945A1" w:rsidP="00904012">
      <w:pPr>
        <w:shd w:val="clear" w:color="auto" w:fill="FFFFFF"/>
        <w:rPr>
          <w:rFonts w:ascii="Arial" w:eastAsia="Times New Roman" w:hAnsi="Arial" w:cs="Arial"/>
          <w:color w:val="222222"/>
          <w:sz w:val="24"/>
          <w:szCs w:val="24"/>
        </w:rPr>
      </w:pPr>
      <w:r w:rsidRPr="00904012">
        <w:rPr>
          <w:rFonts w:ascii="Arial" w:eastAsia="Times New Roman" w:hAnsi="Arial" w:cs="Arial"/>
          <w:color w:val="222222"/>
          <w:sz w:val="24"/>
          <w:szCs w:val="24"/>
          <w:u w:val="single"/>
        </w:rPr>
        <w:t>References</w:t>
      </w:r>
      <w:r w:rsidRPr="007945A1">
        <w:rPr>
          <w:rFonts w:ascii="Arial" w:eastAsia="Times New Roman" w:hAnsi="Arial" w:cs="Arial"/>
          <w:color w:val="222222"/>
          <w:sz w:val="24"/>
          <w:szCs w:val="24"/>
        </w:rPr>
        <w:t>:</w:t>
      </w:r>
    </w:p>
    <w:p w14:paraId="7CD57FF1" w14:textId="2776F786" w:rsidR="007945A1" w:rsidRPr="007945A1" w:rsidRDefault="007945A1" w:rsidP="00904012">
      <w:pPr>
        <w:shd w:val="clear" w:color="auto" w:fill="FFFFFF"/>
        <w:spacing w:afterLines="120" w:after="288"/>
        <w:ind w:left="720" w:hanging="630"/>
        <w:rPr>
          <w:rFonts w:ascii="Arial" w:eastAsia="Times New Roman" w:hAnsi="Arial" w:cs="Arial"/>
          <w:color w:val="222222"/>
          <w:sz w:val="24"/>
          <w:szCs w:val="24"/>
        </w:rPr>
      </w:pPr>
      <w:r w:rsidRPr="007945A1">
        <w:rPr>
          <w:rFonts w:ascii="Arial" w:eastAsia="Times New Roman" w:hAnsi="Arial" w:cs="Arial"/>
          <w:color w:val="222222"/>
          <w:sz w:val="24"/>
          <w:szCs w:val="24"/>
        </w:rPr>
        <w:t xml:space="preserve">USDOE (2016). 2016 </w:t>
      </w:r>
      <w:proofErr w:type="gramStart"/>
      <w:r w:rsidRPr="007945A1">
        <w:rPr>
          <w:rFonts w:ascii="Arial" w:eastAsia="Times New Roman" w:hAnsi="Arial" w:cs="Arial"/>
          <w:color w:val="222222"/>
          <w:sz w:val="24"/>
          <w:szCs w:val="24"/>
        </w:rPr>
        <w:t>Billion</w:t>
      </w:r>
      <w:proofErr w:type="gramEnd"/>
      <w:r w:rsidRPr="007945A1">
        <w:rPr>
          <w:rFonts w:ascii="Arial" w:eastAsia="Times New Roman" w:hAnsi="Arial" w:cs="Arial"/>
          <w:color w:val="222222"/>
          <w:sz w:val="24"/>
          <w:szCs w:val="24"/>
        </w:rPr>
        <w:t>-ton Report: Advancing Domestic Resources for a Thriving Bioeconomy, Volume 1: Economic Availability of Feedstocks. M. Langholtz, B. Stokes and L. Eaton. Oak Ridge, TN, Oak Ridge National Laboratory: 448. https://bioenergykdf.net/billionton2016/overview</w:t>
      </w:r>
    </w:p>
    <w:p w14:paraId="07366EAB" w14:textId="259A31D8" w:rsidR="007945A1" w:rsidRPr="00F91AD0" w:rsidRDefault="007945A1" w:rsidP="00904012">
      <w:pPr>
        <w:shd w:val="clear" w:color="auto" w:fill="FFFFFF"/>
        <w:spacing w:afterLines="120" w:after="288"/>
        <w:ind w:left="720" w:hanging="630"/>
        <w:rPr>
          <w:rFonts w:ascii="Arial" w:eastAsia="Times New Roman" w:hAnsi="Arial" w:cs="Arial"/>
          <w:color w:val="222222"/>
          <w:sz w:val="24"/>
          <w:szCs w:val="24"/>
        </w:rPr>
      </w:pPr>
      <w:r w:rsidRPr="007945A1">
        <w:rPr>
          <w:rFonts w:ascii="Arial" w:eastAsia="Times New Roman" w:hAnsi="Arial" w:cs="Arial"/>
          <w:color w:val="222222"/>
          <w:sz w:val="24"/>
          <w:szCs w:val="24"/>
        </w:rPr>
        <w:t>An Action Plan for Carbon Capture and Storage in California: Opportunities, Challenges &amp; Solutions, Stanford Center for Carbon Storage, 2020.</w:t>
      </w:r>
    </w:p>
    <w:p w14:paraId="5FF04E72" w14:textId="37940A92" w:rsidR="00F10B3F" w:rsidRPr="00F91AD0" w:rsidRDefault="00F10B3F" w:rsidP="00F91AD0">
      <w:pPr>
        <w:spacing w:afterLines="120" w:after="288"/>
        <w:rPr>
          <w:sz w:val="24"/>
          <w:szCs w:val="24"/>
        </w:rPr>
      </w:pPr>
    </w:p>
    <w:sectPr w:rsidR="00F10B3F" w:rsidRPr="00F91A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B5384A"/>
    <w:multiLevelType w:val="multilevel"/>
    <w:tmpl w:val="9DE00DDA"/>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15:restartNumberingAfterBreak="0">
    <w:nsid w:val="30991F0D"/>
    <w:multiLevelType w:val="hybridMultilevel"/>
    <w:tmpl w:val="D326FE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7AB7DE5"/>
    <w:multiLevelType w:val="multilevel"/>
    <w:tmpl w:val="2C901F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B3F"/>
    <w:rsid w:val="00034B8D"/>
    <w:rsid w:val="00515385"/>
    <w:rsid w:val="007472F9"/>
    <w:rsid w:val="00773BE1"/>
    <w:rsid w:val="007945A1"/>
    <w:rsid w:val="00904012"/>
    <w:rsid w:val="009F29DE"/>
    <w:rsid w:val="00D316AD"/>
    <w:rsid w:val="00F10B3F"/>
    <w:rsid w:val="00F91AD0"/>
    <w:rsid w:val="00FE23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C5F35"/>
  <w15:chartTrackingRefBased/>
  <w15:docId w15:val="{F54042D4-FD9E-40AB-A88E-11A72868F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0B3F"/>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91AD0"/>
    <w:pPr>
      <w:spacing w:before="100" w:beforeAutospacing="1" w:after="100" w:afterAutospacing="1"/>
    </w:pPr>
    <w:rPr>
      <w:rFonts w:ascii="Times New Roman" w:eastAsia="Times New Roman" w:hAnsi="Times New Roman" w:cs="Times New Roman"/>
      <w:sz w:val="24"/>
      <w:szCs w:val="24"/>
    </w:rPr>
  </w:style>
  <w:style w:type="paragraph" w:styleId="ListParagraph">
    <w:name w:val="List Paragraph"/>
    <w:basedOn w:val="Normal"/>
    <w:uiPriority w:val="34"/>
    <w:qFormat/>
    <w:rsid w:val="00F91A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708725">
      <w:bodyDiv w:val="1"/>
      <w:marLeft w:val="0"/>
      <w:marRight w:val="0"/>
      <w:marTop w:val="0"/>
      <w:marBottom w:val="0"/>
      <w:divBdr>
        <w:top w:val="none" w:sz="0" w:space="0" w:color="auto"/>
        <w:left w:val="none" w:sz="0" w:space="0" w:color="auto"/>
        <w:bottom w:val="none" w:sz="0" w:space="0" w:color="auto"/>
        <w:right w:val="none" w:sz="0" w:space="0" w:color="auto"/>
      </w:divBdr>
      <w:divsChild>
        <w:div w:id="1400665020">
          <w:marLeft w:val="0"/>
          <w:marRight w:val="0"/>
          <w:marTop w:val="0"/>
          <w:marBottom w:val="0"/>
          <w:divBdr>
            <w:top w:val="none" w:sz="0" w:space="0" w:color="auto"/>
            <w:left w:val="none" w:sz="0" w:space="0" w:color="auto"/>
            <w:bottom w:val="none" w:sz="0" w:space="0" w:color="auto"/>
            <w:right w:val="none" w:sz="0" w:space="0" w:color="auto"/>
          </w:divBdr>
        </w:div>
        <w:div w:id="110514214">
          <w:marLeft w:val="0"/>
          <w:marRight w:val="0"/>
          <w:marTop w:val="0"/>
          <w:marBottom w:val="0"/>
          <w:divBdr>
            <w:top w:val="none" w:sz="0" w:space="0" w:color="auto"/>
            <w:left w:val="none" w:sz="0" w:space="0" w:color="auto"/>
            <w:bottom w:val="none" w:sz="0" w:space="0" w:color="auto"/>
            <w:right w:val="none" w:sz="0" w:space="0" w:color="auto"/>
          </w:divBdr>
        </w:div>
        <w:div w:id="1682389222">
          <w:marLeft w:val="0"/>
          <w:marRight w:val="0"/>
          <w:marTop w:val="0"/>
          <w:marBottom w:val="0"/>
          <w:divBdr>
            <w:top w:val="none" w:sz="0" w:space="0" w:color="auto"/>
            <w:left w:val="none" w:sz="0" w:space="0" w:color="auto"/>
            <w:bottom w:val="none" w:sz="0" w:space="0" w:color="auto"/>
            <w:right w:val="none" w:sz="0" w:space="0" w:color="auto"/>
          </w:divBdr>
        </w:div>
        <w:div w:id="1553418342">
          <w:marLeft w:val="0"/>
          <w:marRight w:val="0"/>
          <w:marTop w:val="0"/>
          <w:marBottom w:val="0"/>
          <w:divBdr>
            <w:top w:val="none" w:sz="0" w:space="0" w:color="auto"/>
            <w:left w:val="none" w:sz="0" w:space="0" w:color="auto"/>
            <w:bottom w:val="none" w:sz="0" w:space="0" w:color="auto"/>
            <w:right w:val="none" w:sz="0" w:space="0" w:color="auto"/>
          </w:divBdr>
        </w:div>
        <w:div w:id="136924370">
          <w:marLeft w:val="0"/>
          <w:marRight w:val="0"/>
          <w:marTop w:val="0"/>
          <w:marBottom w:val="0"/>
          <w:divBdr>
            <w:top w:val="none" w:sz="0" w:space="0" w:color="auto"/>
            <w:left w:val="none" w:sz="0" w:space="0" w:color="auto"/>
            <w:bottom w:val="none" w:sz="0" w:space="0" w:color="auto"/>
            <w:right w:val="none" w:sz="0" w:space="0" w:color="auto"/>
          </w:divBdr>
        </w:div>
        <w:div w:id="687416215">
          <w:marLeft w:val="0"/>
          <w:marRight w:val="0"/>
          <w:marTop w:val="0"/>
          <w:marBottom w:val="0"/>
          <w:divBdr>
            <w:top w:val="none" w:sz="0" w:space="0" w:color="auto"/>
            <w:left w:val="none" w:sz="0" w:space="0" w:color="auto"/>
            <w:bottom w:val="none" w:sz="0" w:space="0" w:color="auto"/>
            <w:right w:val="none" w:sz="0" w:space="0" w:color="auto"/>
          </w:divBdr>
        </w:div>
      </w:divsChild>
    </w:div>
    <w:div w:id="1652636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387</TotalTime>
  <Pages>3</Pages>
  <Words>1011</Words>
  <Characters>5764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Langholtz, Matthew H.</dc:creator>
  <cp:keywords/>
  <dc:description/>
  <cp:lastModifiedBy>Langholtz, Matthew H.</cp:lastModifiedBy>
  <cp:revision>4</cp:revision>
  <dcterms:created xsi:type="dcterms:W3CDTF">2021-11-23T15:53:00Z</dcterms:created>
  <dcterms:modified xsi:type="dcterms:W3CDTF">2021-11-29T21:11:00Z</dcterms:modified>
</cp:coreProperties>
</file>