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B" w:rsidRPr="00C515B7" w:rsidRDefault="007F4E24" w:rsidP="00E424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</w:t>
      </w:r>
      <w:r>
        <w:rPr>
          <w:rFonts w:ascii="Times New Roman" w:hAnsi="Times New Roman"/>
          <w:noProof/>
        </w:rPr>
        <w:drawing>
          <wp:inline distT="0" distB="0" distL="0" distR="0">
            <wp:extent cx="1713127" cy="1021080"/>
            <wp:effectExtent l="19050" t="0" r="1373" b="0"/>
            <wp:docPr id="14" name="Picture 4" descr="C:\Users\emorehouse\Documents\Documents\Other\hi-res_EDF_t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rehouse\Documents\Documents\Other\hi-res_EDF_tm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27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E2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1561290" cy="1371600"/>
            <wp:effectExtent l="19050" t="0" r="810" b="0"/>
            <wp:docPr id="13" name="Picture 3" descr="C:\Users\emorehouse\AppData\Local\Microsoft\Windows\Temporary Internet Files\Content.Outlook\72PMOQI0\NRD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orehouse\AppData\Local\Microsoft\Windows\Temporary Internet Files\Content.Outlook\72PMOQI0\NRDC log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29" cy="13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F4" w:rsidRPr="00C515B7" w:rsidRDefault="00E61BF4" w:rsidP="00E4245C">
      <w:pPr>
        <w:rPr>
          <w:rFonts w:ascii="Times New Roman" w:hAnsi="Times New Roman"/>
        </w:rPr>
      </w:pPr>
    </w:p>
    <w:p w:rsidR="00F1382B" w:rsidRPr="00C515B7" w:rsidRDefault="00F1382B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="001824F1" w:rsidRPr="00C515B7">
        <w:rPr>
          <w:rFonts w:ascii="Times New Roman" w:hAnsi="Times New Roman"/>
        </w:rPr>
        <w:tab/>
      </w:r>
      <w:r w:rsidR="00270039" w:rsidRPr="00C515B7">
        <w:rPr>
          <w:rFonts w:ascii="Times New Roman" w:hAnsi="Times New Roman"/>
        </w:rPr>
        <w:t>February 17, 2012</w:t>
      </w:r>
    </w:p>
    <w:p w:rsidR="00F1382B" w:rsidRPr="00C515B7" w:rsidRDefault="001824F1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Steve Cliff</w:t>
      </w:r>
      <w:r w:rsidR="001B44B3" w:rsidRPr="00C515B7">
        <w:rPr>
          <w:rFonts w:ascii="Times New Roman" w:hAnsi="Times New Roman"/>
        </w:rPr>
        <w:t xml:space="preserve">, </w:t>
      </w:r>
      <w:r w:rsidR="00270039" w:rsidRPr="00C515B7">
        <w:rPr>
          <w:rFonts w:ascii="Times New Roman" w:hAnsi="Times New Roman"/>
        </w:rPr>
        <w:t xml:space="preserve">Branch </w:t>
      </w:r>
      <w:r w:rsidR="001B44B3" w:rsidRPr="00C515B7">
        <w:rPr>
          <w:rFonts w:ascii="Times New Roman" w:hAnsi="Times New Roman"/>
        </w:rPr>
        <w:t>Chief</w:t>
      </w:r>
    </w:p>
    <w:p w:rsidR="001824F1" w:rsidRPr="00C515B7" w:rsidRDefault="001824F1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Climate Change Program Evaluation Branch</w:t>
      </w:r>
    </w:p>
    <w:p w:rsidR="00F71618" w:rsidRPr="00C515B7" w:rsidRDefault="00F71618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Stationary Source Division</w:t>
      </w:r>
    </w:p>
    <w:p w:rsidR="00F1382B" w:rsidRPr="00C515B7" w:rsidRDefault="00F1382B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California Air Resources Board</w:t>
      </w:r>
    </w:p>
    <w:p w:rsidR="00F1382B" w:rsidRPr="00C515B7" w:rsidRDefault="00F1382B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1001 “I” Street, Sacramento, CA, 95812</w:t>
      </w:r>
    </w:p>
    <w:p w:rsidR="001B44B3" w:rsidRPr="00C515B7" w:rsidRDefault="001B44B3" w:rsidP="00E4245C">
      <w:pPr>
        <w:rPr>
          <w:rFonts w:ascii="Times New Roman" w:hAnsi="Times New Roman"/>
        </w:rPr>
      </w:pPr>
    </w:p>
    <w:p w:rsidR="001B44B3" w:rsidRPr="00C515B7" w:rsidRDefault="00F71618" w:rsidP="00E4245C">
      <w:pPr>
        <w:rPr>
          <w:rFonts w:ascii="Times New Roman" w:hAnsi="Times New Roman"/>
        </w:rPr>
      </w:pPr>
      <w:proofErr w:type="spellStart"/>
      <w:r w:rsidRPr="00C515B7">
        <w:rPr>
          <w:rFonts w:ascii="Times New Roman" w:hAnsi="Times New Roman"/>
        </w:rPr>
        <w:t>Rajin</w:t>
      </w:r>
      <w:r w:rsidR="001B44B3" w:rsidRPr="00C515B7">
        <w:rPr>
          <w:rFonts w:ascii="Times New Roman" w:hAnsi="Times New Roman"/>
        </w:rPr>
        <w:t>der</w:t>
      </w:r>
      <w:proofErr w:type="spellEnd"/>
      <w:r w:rsidR="001B44B3" w:rsidRPr="00C515B7">
        <w:rPr>
          <w:rFonts w:ascii="Times New Roman" w:hAnsi="Times New Roman"/>
        </w:rPr>
        <w:t xml:space="preserve"> </w:t>
      </w:r>
      <w:proofErr w:type="spellStart"/>
      <w:r w:rsidR="001B44B3" w:rsidRPr="00C515B7">
        <w:rPr>
          <w:rFonts w:ascii="Times New Roman" w:hAnsi="Times New Roman"/>
        </w:rPr>
        <w:t>Sahota</w:t>
      </w:r>
      <w:proofErr w:type="spellEnd"/>
      <w:r w:rsidR="001B44B3" w:rsidRPr="00C515B7">
        <w:rPr>
          <w:rFonts w:ascii="Times New Roman" w:hAnsi="Times New Roman"/>
        </w:rPr>
        <w:t>, Manager</w:t>
      </w: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 xml:space="preserve">Climate Change Program </w:t>
      </w:r>
      <w:r w:rsidR="00F71618" w:rsidRPr="00C515B7">
        <w:rPr>
          <w:rFonts w:ascii="Times New Roman" w:hAnsi="Times New Roman"/>
        </w:rPr>
        <w:t>Operating Section</w:t>
      </w:r>
      <w:r w:rsidRPr="00C515B7">
        <w:rPr>
          <w:rFonts w:ascii="Times New Roman" w:hAnsi="Times New Roman"/>
        </w:rPr>
        <w:t xml:space="preserve"> </w:t>
      </w:r>
    </w:p>
    <w:p w:rsidR="00F71618" w:rsidRPr="00C515B7" w:rsidRDefault="00F71618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Stationary Source Division</w:t>
      </w: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California Air Resources Board</w:t>
      </w: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1001 “I” Street, Sacramento, CA, 95812</w:t>
      </w:r>
    </w:p>
    <w:p w:rsidR="001B44B3" w:rsidRPr="00C515B7" w:rsidRDefault="001B44B3" w:rsidP="00E4245C">
      <w:pPr>
        <w:rPr>
          <w:rFonts w:ascii="Times New Roman" w:hAnsi="Times New Roman"/>
        </w:rPr>
      </w:pPr>
    </w:p>
    <w:p w:rsidR="00457FB2" w:rsidRPr="00BA6B86" w:rsidRDefault="00F1382B" w:rsidP="00BA6B86">
      <w:pPr>
        <w:rPr>
          <w:rFonts w:ascii="Times New Roman" w:hAnsi="Times New Roman"/>
          <w:b/>
        </w:rPr>
      </w:pPr>
      <w:r w:rsidRPr="00C515B7">
        <w:rPr>
          <w:rFonts w:ascii="Times New Roman" w:hAnsi="Times New Roman"/>
          <w:b/>
        </w:rPr>
        <w:t xml:space="preserve">Subject: </w:t>
      </w:r>
      <w:r w:rsidR="001824F1" w:rsidRPr="00C515B7">
        <w:rPr>
          <w:rFonts w:ascii="Times New Roman" w:hAnsi="Times New Roman"/>
          <w:b/>
        </w:rPr>
        <w:t xml:space="preserve">Comments of Environmental Defense Fund </w:t>
      </w:r>
      <w:r w:rsidR="001F10F9">
        <w:rPr>
          <w:rFonts w:ascii="Times New Roman" w:hAnsi="Times New Roman"/>
          <w:b/>
        </w:rPr>
        <w:t xml:space="preserve">and the Natural Resources Defense Council </w:t>
      </w:r>
      <w:r w:rsidR="001824F1" w:rsidRPr="00C515B7">
        <w:rPr>
          <w:rFonts w:ascii="Times New Roman" w:hAnsi="Times New Roman"/>
          <w:b/>
        </w:rPr>
        <w:t xml:space="preserve">on </w:t>
      </w:r>
      <w:r w:rsidR="00270039" w:rsidRPr="00C515B7">
        <w:rPr>
          <w:rFonts w:ascii="Times New Roman" w:hAnsi="Times New Roman"/>
          <w:b/>
        </w:rPr>
        <w:t>February 3, 2012</w:t>
      </w:r>
      <w:r w:rsidR="00BA6B86">
        <w:rPr>
          <w:rFonts w:ascii="Times New Roman" w:hAnsi="Times New Roman"/>
          <w:b/>
        </w:rPr>
        <w:t>,</w:t>
      </w:r>
      <w:r w:rsidR="00270039" w:rsidRPr="00C515B7">
        <w:rPr>
          <w:rFonts w:ascii="Times New Roman" w:hAnsi="Times New Roman"/>
          <w:b/>
        </w:rPr>
        <w:t xml:space="preserve"> Cap-an</w:t>
      </w:r>
      <w:r w:rsidR="001F10F9">
        <w:rPr>
          <w:rFonts w:ascii="Times New Roman" w:hAnsi="Times New Roman"/>
          <w:b/>
        </w:rPr>
        <w:t>d</w:t>
      </w:r>
      <w:r w:rsidR="00270039" w:rsidRPr="00C515B7">
        <w:rPr>
          <w:rFonts w:ascii="Times New Roman" w:hAnsi="Times New Roman"/>
          <w:b/>
        </w:rPr>
        <w:t>-Trade Workshop: Regulation for Linking California and Quebec’s Cap-and-Trade Programs</w:t>
      </w:r>
    </w:p>
    <w:p w:rsidR="001E0B70" w:rsidRPr="00C515B7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1E0B70" w:rsidRPr="00C515B7" w:rsidRDefault="00FE6A97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  <w:r w:rsidRPr="00C515B7">
        <w:rPr>
          <w:rFonts w:ascii="Times New Roman" w:eastAsia="Times New Roman" w:hAnsi="Times New Roman"/>
          <w:sz w:val="24"/>
        </w:rPr>
        <w:t xml:space="preserve">Dear Mr. Cliff and Ms. </w:t>
      </w:r>
      <w:proofErr w:type="spellStart"/>
      <w:r w:rsidRPr="00C515B7">
        <w:rPr>
          <w:rFonts w:ascii="Times New Roman" w:eastAsia="Times New Roman" w:hAnsi="Times New Roman"/>
          <w:sz w:val="24"/>
        </w:rPr>
        <w:t>Sahota</w:t>
      </w:r>
      <w:proofErr w:type="spellEnd"/>
      <w:r w:rsidRPr="00C515B7">
        <w:rPr>
          <w:rFonts w:ascii="Times New Roman" w:eastAsia="Times New Roman" w:hAnsi="Times New Roman"/>
          <w:sz w:val="24"/>
        </w:rPr>
        <w:t>:</w:t>
      </w:r>
    </w:p>
    <w:p w:rsidR="001E0B70" w:rsidRPr="00C515B7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1E0B70" w:rsidRPr="00C515B7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  <w:r w:rsidRPr="00C515B7">
        <w:rPr>
          <w:rFonts w:ascii="Times New Roman" w:eastAsia="Times New Roman" w:hAnsi="Times New Roman"/>
          <w:sz w:val="24"/>
        </w:rPr>
        <w:t xml:space="preserve">Please accept these comments on the </w:t>
      </w:r>
      <w:r w:rsidR="00463775" w:rsidRPr="00C515B7">
        <w:rPr>
          <w:rFonts w:ascii="Times New Roman" w:eastAsia="Times New Roman" w:hAnsi="Times New Roman"/>
          <w:sz w:val="24"/>
        </w:rPr>
        <w:t>February 3, 2012</w:t>
      </w:r>
      <w:r w:rsidR="00D87284">
        <w:rPr>
          <w:rFonts w:ascii="Times New Roman" w:eastAsia="Times New Roman" w:hAnsi="Times New Roman"/>
          <w:sz w:val="24"/>
        </w:rPr>
        <w:t>,</w:t>
      </w:r>
      <w:r w:rsidR="00463775" w:rsidRPr="00C515B7">
        <w:rPr>
          <w:rFonts w:ascii="Times New Roman" w:eastAsia="Times New Roman" w:hAnsi="Times New Roman"/>
          <w:sz w:val="24"/>
        </w:rPr>
        <w:t xml:space="preserve"> Cap-and-Trade workshop on linking California and Quebec’s cap-and-trade programs</w:t>
      </w:r>
      <w:r w:rsidRPr="00C515B7">
        <w:rPr>
          <w:rFonts w:ascii="Times New Roman" w:eastAsia="Times New Roman" w:hAnsi="Times New Roman"/>
          <w:sz w:val="24"/>
        </w:rPr>
        <w:t xml:space="preserve">.  </w:t>
      </w:r>
    </w:p>
    <w:p w:rsidR="00072020" w:rsidRPr="00C515B7" w:rsidRDefault="0007202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F13095" w:rsidRPr="00C515B7" w:rsidRDefault="00AF453B" w:rsidP="00072020">
      <w:pPr>
        <w:rPr>
          <w:rFonts w:ascii="Times New Roman" w:hAnsi="Times New Roman"/>
        </w:rPr>
      </w:pPr>
      <w:r>
        <w:rPr>
          <w:rFonts w:ascii="Times New Roman" w:hAnsi="Times New Roman"/>
        </w:rPr>
        <w:t>Environmental Defense Fund (</w:t>
      </w:r>
      <w:r w:rsidR="00072020" w:rsidRPr="00C515B7">
        <w:rPr>
          <w:rFonts w:ascii="Times New Roman" w:hAnsi="Times New Roman"/>
        </w:rPr>
        <w:t>EDF</w:t>
      </w:r>
      <w:r>
        <w:rPr>
          <w:rFonts w:ascii="Times New Roman" w:hAnsi="Times New Roman"/>
        </w:rPr>
        <w:t xml:space="preserve">) and the </w:t>
      </w:r>
      <w:r w:rsidR="001F10F9">
        <w:rPr>
          <w:rFonts w:ascii="Times New Roman" w:hAnsi="Times New Roman"/>
        </w:rPr>
        <w:t>N</w:t>
      </w:r>
      <w:r>
        <w:rPr>
          <w:rFonts w:ascii="Times New Roman" w:hAnsi="Times New Roman"/>
        </w:rPr>
        <w:t>atural Resources Defense Council (NRDC) support</w:t>
      </w:r>
      <w:r w:rsidR="00072020" w:rsidRPr="00C515B7">
        <w:rPr>
          <w:rFonts w:ascii="Times New Roman" w:hAnsi="Times New Roman"/>
        </w:rPr>
        <w:t xml:space="preserve"> CARB’s efforts to consider linking</w:t>
      </w:r>
      <w:r w:rsidR="00072020" w:rsidRPr="00C515B7">
        <w:rPr>
          <w:rStyle w:val="FootnoteReference"/>
          <w:rFonts w:ascii="Times New Roman" w:hAnsi="Times New Roman"/>
        </w:rPr>
        <w:footnoteReference w:id="1"/>
      </w:r>
      <w:r w:rsidR="00072020" w:rsidRPr="00C515B7">
        <w:rPr>
          <w:rFonts w:ascii="Times New Roman" w:hAnsi="Times New Roman"/>
        </w:rPr>
        <w:t xml:space="preserve"> California’s cap-and-trade program to Quebec’s through a formal rulemaking process</w:t>
      </w:r>
      <w:r w:rsidR="00BF38BE">
        <w:rPr>
          <w:rFonts w:ascii="Times New Roman" w:hAnsi="Times New Roman"/>
        </w:rPr>
        <w:t xml:space="preserve"> that </w:t>
      </w:r>
      <w:r w:rsidR="004779F1">
        <w:rPr>
          <w:rFonts w:ascii="Times New Roman" w:hAnsi="Times New Roman"/>
        </w:rPr>
        <w:t xml:space="preserve">has the potential to </w:t>
      </w:r>
      <w:r w:rsidR="00BF38BE">
        <w:rPr>
          <w:rFonts w:ascii="Times New Roman" w:hAnsi="Times New Roman"/>
        </w:rPr>
        <w:t xml:space="preserve">lead to a mutual recognition of compliance instruments </w:t>
      </w:r>
      <w:r w:rsidR="0001648F">
        <w:rPr>
          <w:rFonts w:ascii="Times New Roman" w:hAnsi="Times New Roman"/>
        </w:rPr>
        <w:t>issued by either</w:t>
      </w:r>
      <w:r w:rsidR="00E52667">
        <w:rPr>
          <w:rFonts w:ascii="Times New Roman" w:hAnsi="Times New Roman"/>
        </w:rPr>
        <w:t xml:space="preserve"> program</w:t>
      </w:r>
      <w:r w:rsidR="004779F1">
        <w:rPr>
          <w:rFonts w:ascii="Times New Roman" w:hAnsi="Times New Roman"/>
        </w:rPr>
        <w:t>, should CARB determine upon thorough evaluation</w:t>
      </w:r>
      <w:r w:rsidR="00D87284">
        <w:rPr>
          <w:rFonts w:ascii="Times New Roman" w:hAnsi="Times New Roman"/>
        </w:rPr>
        <w:t>,</w:t>
      </w:r>
      <w:r w:rsidR="004779F1">
        <w:rPr>
          <w:rFonts w:ascii="Times New Roman" w:hAnsi="Times New Roman"/>
        </w:rPr>
        <w:t xml:space="preserve"> that Quebec's program meets California's rigorous standards for environmental integrity</w:t>
      </w:r>
      <w:r w:rsidR="00072020" w:rsidRPr="00C515B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EDF and NRDC’s</w:t>
      </w:r>
      <w:r w:rsidR="00C515B7" w:rsidRPr="00C515B7">
        <w:rPr>
          <w:rFonts w:ascii="Times New Roman" w:hAnsi="Times New Roman"/>
        </w:rPr>
        <w:t xml:space="preserve"> paramount interest is </w:t>
      </w:r>
      <w:r w:rsidR="00CA1599">
        <w:rPr>
          <w:rFonts w:ascii="Times New Roman" w:hAnsi="Times New Roman"/>
        </w:rPr>
        <w:t xml:space="preserve">to </w:t>
      </w:r>
      <w:r w:rsidR="0001648F">
        <w:rPr>
          <w:rFonts w:ascii="Times New Roman" w:hAnsi="Times New Roman"/>
        </w:rPr>
        <w:t xml:space="preserve">preserve </w:t>
      </w:r>
      <w:r w:rsidR="00C515B7" w:rsidRPr="00C515B7">
        <w:rPr>
          <w:rFonts w:ascii="Times New Roman" w:hAnsi="Times New Roman"/>
        </w:rPr>
        <w:t>the integrity of California’s cap-and-trade program.  That said</w:t>
      </w:r>
      <w:proofErr w:type="gramStart"/>
      <w:r w:rsidR="00C515B7" w:rsidRPr="00C515B7">
        <w:rPr>
          <w:rFonts w:ascii="Times New Roman" w:hAnsi="Times New Roman"/>
        </w:rPr>
        <w:t>,</w:t>
      </w:r>
      <w:proofErr w:type="gramEnd"/>
      <w:r w:rsidR="00C515B7" w:rsidRPr="00C515B7">
        <w:rPr>
          <w:rFonts w:ascii="Times New Roman" w:hAnsi="Times New Roman"/>
        </w:rPr>
        <w:t xml:space="preserve"> </w:t>
      </w:r>
      <w:r w:rsidR="003F355B" w:rsidRPr="00C515B7">
        <w:rPr>
          <w:rFonts w:ascii="Times New Roman" w:hAnsi="Times New Roman"/>
        </w:rPr>
        <w:t>linking</w:t>
      </w:r>
      <w:r w:rsidR="003F355B">
        <w:rPr>
          <w:rFonts w:ascii="Times New Roman" w:hAnsi="Times New Roman"/>
        </w:rPr>
        <w:t>,</w:t>
      </w:r>
      <w:r w:rsidR="00C515B7" w:rsidRPr="00C515B7">
        <w:rPr>
          <w:rFonts w:ascii="Times New Roman" w:hAnsi="Times New Roman"/>
        </w:rPr>
        <w:t xml:space="preserve"> </w:t>
      </w:r>
      <w:r w:rsidR="00BF38BE">
        <w:rPr>
          <w:rFonts w:ascii="Times New Roman" w:hAnsi="Times New Roman"/>
        </w:rPr>
        <w:t xml:space="preserve">or mutual recognition between </w:t>
      </w:r>
      <w:r w:rsidR="00C515B7" w:rsidRPr="00C515B7">
        <w:rPr>
          <w:rFonts w:ascii="Times New Roman" w:hAnsi="Times New Roman"/>
        </w:rPr>
        <w:t>strong program</w:t>
      </w:r>
      <w:r w:rsidR="00BF38BE">
        <w:rPr>
          <w:rFonts w:ascii="Times New Roman" w:hAnsi="Times New Roman"/>
        </w:rPr>
        <w:t>s</w:t>
      </w:r>
      <w:r w:rsidR="00D87284">
        <w:rPr>
          <w:rFonts w:ascii="Times New Roman" w:hAnsi="Times New Roman"/>
        </w:rPr>
        <w:t>,</w:t>
      </w:r>
      <w:r w:rsidR="00C515B7" w:rsidRPr="00C515B7">
        <w:rPr>
          <w:rFonts w:ascii="Times New Roman" w:hAnsi="Times New Roman"/>
        </w:rPr>
        <w:t xml:space="preserve"> can</w:t>
      </w:r>
      <w:r w:rsidR="00D87284">
        <w:rPr>
          <w:rFonts w:ascii="Times New Roman" w:hAnsi="Times New Roman"/>
        </w:rPr>
        <w:t>,</w:t>
      </w:r>
      <w:r w:rsidR="004779F1">
        <w:rPr>
          <w:rFonts w:ascii="Times New Roman" w:hAnsi="Times New Roman"/>
        </w:rPr>
        <w:t xml:space="preserve"> in principle,</w:t>
      </w:r>
      <w:r w:rsidR="00C515B7" w:rsidRPr="00C515B7">
        <w:rPr>
          <w:rFonts w:ascii="Times New Roman" w:hAnsi="Times New Roman"/>
        </w:rPr>
        <w:t xml:space="preserve"> provide additional </w:t>
      </w:r>
      <w:r w:rsidR="00D713F7">
        <w:rPr>
          <w:rFonts w:ascii="Times New Roman" w:hAnsi="Times New Roman"/>
        </w:rPr>
        <w:t xml:space="preserve">flexibility and </w:t>
      </w:r>
      <w:r w:rsidR="00C515B7" w:rsidRPr="00C515B7">
        <w:rPr>
          <w:rFonts w:ascii="Times New Roman" w:hAnsi="Times New Roman"/>
        </w:rPr>
        <w:t xml:space="preserve">cost-saving opportunities for regulated entities in both California and Quebec.  It was clear from the linkage workshop that CARB’s decision on whether to </w:t>
      </w:r>
      <w:r w:rsidR="00BF38BE">
        <w:rPr>
          <w:rFonts w:ascii="Times New Roman" w:hAnsi="Times New Roman"/>
        </w:rPr>
        <w:t xml:space="preserve">recognize the validity, for compliance purposes, of compliance instruments in the </w:t>
      </w:r>
      <w:r w:rsidR="00BF38BE">
        <w:rPr>
          <w:rFonts w:ascii="Times New Roman" w:hAnsi="Times New Roman"/>
        </w:rPr>
        <w:lastRenderedPageBreak/>
        <w:t>Quebec program</w:t>
      </w:r>
      <w:r w:rsidR="00E8724E">
        <w:rPr>
          <w:rFonts w:ascii="Times New Roman" w:hAnsi="Times New Roman"/>
        </w:rPr>
        <w:t xml:space="preserve"> </w:t>
      </w:r>
      <w:r w:rsidR="00C515B7" w:rsidRPr="00C515B7">
        <w:rPr>
          <w:rFonts w:ascii="Times New Roman" w:hAnsi="Times New Roman"/>
        </w:rPr>
        <w:t xml:space="preserve">will be based on </w:t>
      </w:r>
      <w:r w:rsidR="00E8724E">
        <w:rPr>
          <w:rFonts w:ascii="Times New Roman" w:hAnsi="Times New Roman"/>
        </w:rPr>
        <w:t>CARB's</w:t>
      </w:r>
      <w:r w:rsidR="00C515B7" w:rsidRPr="00C515B7">
        <w:rPr>
          <w:rFonts w:ascii="Times New Roman" w:hAnsi="Times New Roman"/>
        </w:rPr>
        <w:t xml:space="preserve"> thorough consideration</w:t>
      </w:r>
      <w:r w:rsidR="00E8724E">
        <w:rPr>
          <w:rFonts w:ascii="Times New Roman" w:hAnsi="Times New Roman"/>
        </w:rPr>
        <w:t>, and continuing assessment,</w:t>
      </w:r>
      <w:r w:rsidR="00C515B7" w:rsidRPr="00C515B7">
        <w:rPr>
          <w:rFonts w:ascii="Times New Roman" w:hAnsi="Times New Roman"/>
        </w:rPr>
        <w:t xml:space="preserve"> of what will provide the strongest and most effective means of reducing greenhouse gas (GHG) emissions and protecting</w:t>
      </w:r>
      <w:r w:rsidR="00072020" w:rsidRPr="00C515B7">
        <w:rPr>
          <w:rFonts w:ascii="Times New Roman" w:hAnsi="Times New Roman"/>
        </w:rPr>
        <w:t xml:space="preserve"> </w:t>
      </w:r>
      <w:r w:rsidR="00C515B7" w:rsidRPr="00C515B7">
        <w:rPr>
          <w:rFonts w:ascii="Times New Roman" w:hAnsi="Times New Roman"/>
        </w:rPr>
        <w:t>California from the impacts of climate change.</w:t>
      </w:r>
      <w:r w:rsidR="0096563E">
        <w:rPr>
          <w:rFonts w:ascii="Times New Roman" w:hAnsi="Times New Roman"/>
        </w:rPr>
        <w:t xml:space="preserve"> We strongly encourage CARB to maintain that perspective throughout the rulemaking process.</w:t>
      </w:r>
    </w:p>
    <w:p w:rsidR="001E0B70" w:rsidRPr="00C515B7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D4540C" w:rsidRDefault="00D4540C" w:rsidP="00E424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coming months, we </w:t>
      </w:r>
      <w:r w:rsidR="0096563E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urge CARB to clearly </w:t>
      </w:r>
      <w:r w:rsidR="0001648F">
        <w:rPr>
          <w:rFonts w:ascii="Times New Roman" w:hAnsi="Times New Roman"/>
        </w:rPr>
        <w:t xml:space="preserve">identify </w:t>
      </w:r>
      <w:r>
        <w:rPr>
          <w:rFonts w:ascii="Times New Roman" w:hAnsi="Times New Roman"/>
        </w:rPr>
        <w:t xml:space="preserve">the criteria </w:t>
      </w:r>
      <w:r w:rsidR="0001648F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will use to evaluate the stringency of other programs whose compliance instruments </w:t>
      </w:r>
      <w:r w:rsidR="0001648F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="009C2B74">
        <w:rPr>
          <w:rFonts w:ascii="Times New Roman" w:hAnsi="Times New Roman"/>
        </w:rPr>
        <w:t>will consider</w:t>
      </w:r>
      <w:r>
        <w:rPr>
          <w:rFonts w:ascii="Times New Roman" w:hAnsi="Times New Roman"/>
        </w:rPr>
        <w:t xml:space="preserve"> recognizing.  These criteria should include</w:t>
      </w:r>
      <w:r w:rsidR="0096563E">
        <w:rPr>
          <w:rFonts w:ascii="Times New Roman" w:hAnsi="Times New Roman"/>
        </w:rPr>
        <w:t>,</w:t>
      </w:r>
      <w:r w:rsidR="009C2B74">
        <w:rPr>
          <w:rFonts w:ascii="Times New Roman" w:hAnsi="Times New Roman"/>
        </w:rPr>
        <w:t xml:space="preserve"> </w:t>
      </w:r>
      <w:r w:rsidR="0096563E">
        <w:rPr>
          <w:rFonts w:ascii="Times New Roman" w:hAnsi="Times New Roman"/>
        </w:rPr>
        <w:t xml:space="preserve">at a minimum, </w:t>
      </w:r>
      <w:r w:rsidR="009C2B74">
        <w:rPr>
          <w:rFonts w:ascii="Times New Roman" w:hAnsi="Times New Roman"/>
        </w:rPr>
        <w:t>core program</w:t>
      </w:r>
      <w:r w:rsidR="00590DFF">
        <w:rPr>
          <w:rFonts w:ascii="Times New Roman" w:hAnsi="Times New Roman"/>
        </w:rPr>
        <w:t>matic</w:t>
      </w:r>
      <w:r w:rsidR="009C2B74">
        <w:rPr>
          <w:rFonts w:ascii="Times New Roman" w:hAnsi="Times New Roman"/>
        </w:rPr>
        <w:t xml:space="preserve"> elements such as</w:t>
      </w:r>
      <w:r>
        <w:rPr>
          <w:rFonts w:ascii="Times New Roman" w:hAnsi="Times New Roman"/>
        </w:rPr>
        <w:t xml:space="preserve">: the </w:t>
      </w:r>
      <w:r w:rsidR="0001648F">
        <w:rPr>
          <w:rFonts w:ascii="Times New Roman" w:hAnsi="Times New Roman"/>
        </w:rPr>
        <w:t xml:space="preserve">stringency </w:t>
      </w:r>
      <w:r>
        <w:rPr>
          <w:rFonts w:ascii="Times New Roman" w:hAnsi="Times New Roman"/>
        </w:rPr>
        <w:t>of the cap, the reliability of mandatory reporting requirements, the stringency of offset protocols, limits on borrowing</w:t>
      </w:r>
      <w:r w:rsidR="00590DFF">
        <w:rPr>
          <w:rFonts w:ascii="Times New Roman" w:hAnsi="Times New Roman"/>
        </w:rPr>
        <w:t>, and the adequacy of penalty and enforcement mechanisms</w:t>
      </w:r>
      <w:r>
        <w:rPr>
          <w:rFonts w:ascii="Times New Roman" w:hAnsi="Times New Roman"/>
        </w:rPr>
        <w:t xml:space="preserve">. </w:t>
      </w:r>
      <w:r w:rsidR="00590D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By developing these criteria through a public process, CARB </w:t>
      </w:r>
      <w:r w:rsidR="004B1C7F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ensure that California stakeholders have confidence that linking, or mutual recognition of compliance </w:t>
      </w:r>
      <w:r w:rsidR="00E52667">
        <w:rPr>
          <w:rFonts w:ascii="Times New Roman" w:hAnsi="Times New Roman"/>
        </w:rPr>
        <w:t>instruments</w:t>
      </w:r>
      <w:r>
        <w:rPr>
          <w:rFonts w:ascii="Times New Roman" w:hAnsi="Times New Roman"/>
        </w:rPr>
        <w:t xml:space="preserve">, will be in the best interests of California and </w:t>
      </w:r>
      <w:r w:rsidR="00590DFF">
        <w:rPr>
          <w:rFonts w:ascii="Times New Roman" w:hAnsi="Times New Roman"/>
        </w:rPr>
        <w:t xml:space="preserve">further </w:t>
      </w:r>
      <w:r>
        <w:rPr>
          <w:rFonts w:ascii="Times New Roman" w:hAnsi="Times New Roman"/>
        </w:rPr>
        <w:t xml:space="preserve">the </w:t>
      </w:r>
      <w:r w:rsidR="00590DFF">
        <w:rPr>
          <w:rFonts w:ascii="Times New Roman" w:hAnsi="Times New Roman"/>
        </w:rPr>
        <w:t xml:space="preserve">goals </w:t>
      </w:r>
      <w:r>
        <w:rPr>
          <w:rFonts w:ascii="Times New Roman" w:hAnsi="Times New Roman"/>
        </w:rPr>
        <w:t>of AB 32.</w:t>
      </w:r>
    </w:p>
    <w:p w:rsidR="00D4540C" w:rsidRDefault="00D4540C" w:rsidP="00E4245C">
      <w:pPr>
        <w:rPr>
          <w:rFonts w:ascii="Times New Roman" w:hAnsi="Times New Roman"/>
        </w:rPr>
      </w:pPr>
    </w:p>
    <w:p w:rsidR="00075AD8" w:rsidRPr="00C515B7" w:rsidRDefault="002406D8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 xml:space="preserve">When the California Legislature passed and Governor Arnold Schwarzenegger signed the Global Warming Solutions Act of 2006 (AB 32), </w:t>
      </w:r>
      <w:r w:rsidR="0096563E">
        <w:rPr>
          <w:rFonts w:ascii="Times New Roman" w:hAnsi="Times New Roman"/>
        </w:rPr>
        <w:t>it</w:t>
      </w:r>
      <w:r w:rsidRPr="00C515B7">
        <w:rPr>
          <w:rFonts w:ascii="Times New Roman" w:hAnsi="Times New Roman"/>
        </w:rPr>
        <w:t xml:space="preserve"> tasked the Air Resources Board with developing a suite of actions</w:t>
      </w:r>
      <w:r w:rsidR="00BE3B9A" w:rsidRPr="00C515B7">
        <w:rPr>
          <w:rFonts w:ascii="Times New Roman" w:hAnsi="Times New Roman"/>
        </w:rPr>
        <w:t xml:space="preserve"> that were and still are </w:t>
      </w:r>
      <w:r w:rsidRPr="00C515B7">
        <w:rPr>
          <w:rFonts w:ascii="Times New Roman" w:hAnsi="Times New Roman"/>
        </w:rPr>
        <w:t>urgently needed to protect the health and welfare of California citizens in the face of impending global climate change.  Since 2006, the science on climate change has only become clearer</w:t>
      </w:r>
      <w:r w:rsidR="00590DFF">
        <w:rPr>
          <w:rFonts w:ascii="Times New Roman" w:hAnsi="Times New Roman"/>
        </w:rPr>
        <w:t xml:space="preserve"> -</w:t>
      </w:r>
      <w:r w:rsidRPr="00C515B7">
        <w:rPr>
          <w:rFonts w:ascii="Times New Roman" w:hAnsi="Times New Roman"/>
        </w:rPr>
        <w:t xml:space="preserve"> </w:t>
      </w:r>
      <w:r w:rsidR="00324DB5">
        <w:rPr>
          <w:rFonts w:ascii="Times New Roman" w:hAnsi="Times New Roman"/>
        </w:rPr>
        <w:t>GHG</w:t>
      </w:r>
      <w:r w:rsidR="00590DFF">
        <w:rPr>
          <w:rFonts w:ascii="Times New Roman" w:hAnsi="Times New Roman"/>
        </w:rPr>
        <w:t xml:space="preserve"> </w:t>
      </w:r>
      <w:r w:rsidRPr="00C515B7">
        <w:rPr>
          <w:rFonts w:ascii="Times New Roman" w:hAnsi="Times New Roman"/>
        </w:rPr>
        <w:t xml:space="preserve">emissions threaten our way of life and increasing </w:t>
      </w:r>
      <w:r w:rsidR="00E8724E">
        <w:rPr>
          <w:rFonts w:ascii="Times New Roman" w:hAnsi="Times New Roman"/>
        </w:rPr>
        <w:t xml:space="preserve">atmospheric </w:t>
      </w:r>
      <w:r w:rsidRPr="00C515B7">
        <w:rPr>
          <w:rFonts w:ascii="Times New Roman" w:hAnsi="Times New Roman"/>
        </w:rPr>
        <w:t>concentrations of a</w:t>
      </w:r>
      <w:r w:rsidR="00E8724E">
        <w:rPr>
          <w:rFonts w:ascii="Times New Roman" w:hAnsi="Times New Roman"/>
        </w:rPr>
        <w:t xml:space="preserve">nthropogenic </w:t>
      </w:r>
      <w:r w:rsidRPr="00C515B7">
        <w:rPr>
          <w:rFonts w:ascii="Times New Roman" w:hAnsi="Times New Roman"/>
        </w:rPr>
        <w:t>CO</w:t>
      </w:r>
      <w:r w:rsidR="00016A83" w:rsidRPr="00016A83">
        <w:rPr>
          <w:rFonts w:ascii="Times New Roman" w:hAnsi="Times New Roman"/>
          <w:vertAlign w:val="subscript"/>
        </w:rPr>
        <w:t>2</w:t>
      </w:r>
      <w:r w:rsidRPr="00C515B7">
        <w:rPr>
          <w:rFonts w:ascii="Times New Roman" w:hAnsi="Times New Roman"/>
        </w:rPr>
        <w:t xml:space="preserve"> </w:t>
      </w:r>
      <w:r w:rsidR="00E8724E">
        <w:rPr>
          <w:rFonts w:ascii="Times New Roman" w:hAnsi="Times New Roman"/>
        </w:rPr>
        <w:t xml:space="preserve">and other </w:t>
      </w:r>
      <w:r w:rsidR="00324DB5">
        <w:rPr>
          <w:rFonts w:ascii="Times New Roman" w:hAnsi="Times New Roman"/>
        </w:rPr>
        <w:t>GHGs</w:t>
      </w:r>
      <w:r w:rsidR="00E8724E">
        <w:rPr>
          <w:rFonts w:ascii="Times New Roman" w:hAnsi="Times New Roman"/>
        </w:rPr>
        <w:t xml:space="preserve"> </w:t>
      </w:r>
      <w:r w:rsidRPr="00C515B7">
        <w:rPr>
          <w:rFonts w:ascii="Times New Roman" w:hAnsi="Times New Roman"/>
        </w:rPr>
        <w:t>are already showing signs of having a</w:t>
      </w:r>
      <w:r w:rsidR="00590DFF">
        <w:rPr>
          <w:rFonts w:ascii="Times New Roman" w:hAnsi="Times New Roman"/>
        </w:rPr>
        <w:t>dverse</w:t>
      </w:r>
      <w:r w:rsidRPr="00C515B7">
        <w:rPr>
          <w:rFonts w:ascii="Times New Roman" w:hAnsi="Times New Roman"/>
        </w:rPr>
        <w:t xml:space="preserve"> impact</w:t>
      </w:r>
      <w:r w:rsidR="00590DFF">
        <w:rPr>
          <w:rFonts w:ascii="Times New Roman" w:hAnsi="Times New Roman"/>
        </w:rPr>
        <w:t>s, including here in California</w:t>
      </w:r>
      <w:r w:rsidRPr="00C515B7">
        <w:rPr>
          <w:rFonts w:ascii="Times New Roman" w:hAnsi="Times New Roman"/>
        </w:rPr>
        <w:t xml:space="preserve">.  </w:t>
      </w:r>
    </w:p>
    <w:p w:rsidR="002406D8" w:rsidRPr="00C515B7" w:rsidRDefault="002406D8" w:rsidP="00E4245C">
      <w:pPr>
        <w:rPr>
          <w:rFonts w:ascii="Times New Roman" w:hAnsi="Times New Roman"/>
        </w:rPr>
      </w:pPr>
    </w:p>
    <w:p w:rsidR="00915580" w:rsidRPr="00C515B7" w:rsidRDefault="002406D8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 xml:space="preserve">Since </w:t>
      </w:r>
      <w:r w:rsidR="00AF453B">
        <w:rPr>
          <w:rFonts w:ascii="Times New Roman" w:hAnsi="Times New Roman"/>
        </w:rPr>
        <w:t>EDF and NRDC</w:t>
      </w:r>
      <w:r w:rsidRPr="00C515B7">
        <w:rPr>
          <w:rFonts w:ascii="Times New Roman" w:hAnsi="Times New Roman"/>
        </w:rPr>
        <w:t xml:space="preserve"> originally co-sponsored AB 32 in 2006, we have worked diligently to assist with implementation of the </w:t>
      </w:r>
      <w:r w:rsidR="00DD52F8">
        <w:rPr>
          <w:rFonts w:ascii="Times New Roman" w:hAnsi="Times New Roman"/>
        </w:rPr>
        <w:t xml:space="preserve">bill </w:t>
      </w:r>
      <w:r w:rsidRPr="00C515B7">
        <w:rPr>
          <w:rFonts w:ascii="Times New Roman" w:hAnsi="Times New Roman"/>
        </w:rPr>
        <w:t xml:space="preserve">and have provided detailed comments throughout the development of the cap-and-trade regulation.  </w:t>
      </w:r>
      <w:r w:rsidR="00915580" w:rsidRPr="00C515B7">
        <w:rPr>
          <w:rFonts w:ascii="Times New Roman" w:hAnsi="Times New Roman"/>
        </w:rPr>
        <w:t>EDF</w:t>
      </w:r>
      <w:r w:rsidR="00AF453B">
        <w:rPr>
          <w:rFonts w:ascii="Times New Roman" w:hAnsi="Times New Roman"/>
        </w:rPr>
        <w:t xml:space="preserve"> and NRDC</w:t>
      </w:r>
      <w:r w:rsidR="00915580" w:rsidRPr="00C515B7">
        <w:rPr>
          <w:rFonts w:ascii="Times New Roman" w:hAnsi="Times New Roman"/>
        </w:rPr>
        <w:t xml:space="preserve">’s comments and participation in this process are rooted in the belief </w:t>
      </w:r>
      <w:r w:rsidRPr="00C515B7">
        <w:rPr>
          <w:rFonts w:ascii="Times New Roman" w:hAnsi="Times New Roman"/>
        </w:rPr>
        <w:t xml:space="preserve">that reducing </w:t>
      </w:r>
      <w:r w:rsidR="00324DB5">
        <w:rPr>
          <w:rFonts w:ascii="Times New Roman" w:hAnsi="Times New Roman"/>
        </w:rPr>
        <w:t>GHG</w:t>
      </w:r>
      <w:r w:rsidRPr="00C515B7">
        <w:rPr>
          <w:rFonts w:ascii="Times New Roman" w:hAnsi="Times New Roman"/>
        </w:rPr>
        <w:t xml:space="preserve"> emissions is of paramount importance</w:t>
      </w:r>
      <w:r w:rsidR="00590DFF">
        <w:rPr>
          <w:rFonts w:ascii="Times New Roman" w:hAnsi="Times New Roman"/>
        </w:rPr>
        <w:t xml:space="preserve"> to public health and welfare </w:t>
      </w:r>
      <w:r w:rsidRPr="00C515B7">
        <w:rPr>
          <w:rFonts w:ascii="Times New Roman" w:hAnsi="Times New Roman"/>
        </w:rPr>
        <w:t xml:space="preserve">and </w:t>
      </w:r>
      <w:r w:rsidR="00590DFF">
        <w:rPr>
          <w:rFonts w:ascii="Times New Roman" w:hAnsi="Times New Roman"/>
        </w:rPr>
        <w:t xml:space="preserve">can be achieved </w:t>
      </w:r>
      <w:r w:rsidRPr="00C515B7">
        <w:rPr>
          <w:rFonts w:ascii="Times New Roman" w:hAnsi="Times New Roman"/>
        </w:rPr>
        <w:t xml:space="preserve">in a </w:t>
      </w:r>
      <w:r w:rsidR="00590DFF">
        <w:rPr>
          <w:rFonts w:ascii="Times New Roman" w:hAnsi="Times New Roman"/>
        </w:rPr>
        <w:t>manner that will</w:t>
      </w:r>
      <w:r w:rsidRPr="00C515B7">
        <w:rPr>
          <w:rFonts w:ascii="Times New Roman" w:hAnsi="Times New Roman"/>
        </w:rPr>
        <w:t xml:space="preserve"> </w:t>
      </w:r>
      <w:r w:rsidR="00DD52F8">
        <w:rPr>
          <w:rFonts w:ascii="Times New Roman" w:hAnsi="Times New Roman"/>
        </w:rPr>
        <w:t>help</w:t>
      </w:r>
      <w:r w:rsidR="00DD52F8" w:rsidRPr="00C515B7">
        <w:rPr>
          <w:rFonts w:ascii="Times New Roman" w:hAnsi="Times New Roman"/>
        </w:rPr>
        <w:t xml:space="preserve"> </w:t>
      </w:r>
      <w:r w:rsidRPr="00C515B7">
        <w:rPr>
          <w:rFonts w:ascii="Times New Roman" w:hAnsi="Times New Roman"/>
        </w:rPr>
        <w:t>our economy prosper.</w:t>
      </w:r>
      <w:r w:rsidR="00915580" w:rsidRPr="00C515B7">
        <w:rPr>
          <w:rFonts w:ascii="Times New Roman" w:hAnsi="Times New Roman"/>
        </w:rPr>
        <w:t xml:space="preserve">  </w:t>
      </w:r>
    </w:p>
    <w:p w:rsidR="00075AD8" w:rsidRPr="00C515B7" w:rsidRDefault="00075AD8" w:rsidP="00E4245C">
      <w:pPr>
        <w:rPr>
          <w:rFonts w:ascii="Times New Roman" w:hAnsi="Times New Roman"/>
        </w:rPr>
      </w:pPr>
    </w:p>
    <w:p w:rsidR="00CA1599" w:rsidRDefault="000412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Linking California’s program has the potential to be just one of many elements of the overall AB 32 program that allow</w:t>
      </w:r>
      <w:r w:rsidR="00012174" w:rsidRPr="00C515B7">
        <w:rPr>
          <w:rFonts w:ascii="Times New Roman" w:hAnsi="Times New Roman"/>
        </w:rPr>
        <w:t>s</w:t>
      </w:r>
      <w:r w:rsidRPr="00C515B7">
        <w:rPr>
          <w:rFonts w:ascii="Times New Roman" w:hAnsi="Times New Roman"/>
        </w:rPr>
        <w:t xml:space="preserve"> California to </w:t>
      </w:r>
      <w:r w:rsidR="00590DFF">
        <w:rPr>
          <w:rFonts w:ascii="Times New Roman" w:hAnsi="Times New Roman"/>
        </w:rPr>
        <w:t xml:space="preserve">achieve </w:t>
      </w:r>
      <w:r w:rsidRPr="00C515B7">
        <w:rPr>
          <w:rFonts w:ascii="Times New Roman" w:hAnsi="Times New Roman"/>
        </w:rPr>
        <w:t xml:space="preserve">its GHG emissions reduction targets cost-effectively.  </w:t>
      </w:r>
      <w:r w:rsidR="00324DB5">
        <w:rPr>
          <w:rFonts w:ascii="Times New Roman" w:hAnsi="Times New Roman"/>
        </w:rPr>
        <w:t>We</w:t>
      </w:r>
      <w:r w:rsidR="00AF453B">
        <w:rPr>
          <w:rFonts w:ascii="Times New Roman" w:hAnsi="Times New Roman"/>
        </w:rPr>
        <w:t xml:space="preserve"> applaud</w:t>
      </w:r>
      <w:r w:rsidRPr="00C515B7">
        <w:rPr>
          <w:rFonts w:ascii="Times New Roman" w:hAnsi="Times New Roman"/>
        </w:rPr>
        <w:t xml:space="preserve"> CARB on its </w:t>
      </w:r>
      <w:r w:rsidR="00012174" w:rsidRPr="00C515B7">
        <w:rPr>
          <w:rFonts w:ascii="Times New Roman" w:hAnsi="Times New Roman"/>
        </w:rPr>
        <w:t xml:space="preserve">tremendous efforts to-date in developing a state-of-the-art </w:t>
      </w:r>
      <w:r w:rsidR="0096563E">
        <w:rPr>
          <w:rFonts w:ascii="Times New Roman" w:hAnsi="Times New Roman"/>
        </w:rPr>
        <w:t xml:space="preserve">blueprint to reduce GHG emissions under the AB 32 Scoping Plan </w:t>
      </w:r>
      <w:r w:rsidR="00012174" w:rsidRPr="00C515B7">
        <w:rPr>
          <w:rFonts w:ascii="Times New Roman" w:hAnsi="Times New Roman"/>
        </w:rPr>
        <w:t>that will benefit California</w:t>
      </w:r>
      <w:r w:rsidR="007115A5" w:rsidRPr="00C515B7">
        <w:rPr>
          <w:rFonts w:ascii="Times New Roman" w:hAnsi="Times New Roman"/>
        </w:rPr>
        <w:t>ns</w:t>
      </w:r>
      <w:r w:rsidR="00012174" w:rsidRPr="00C515B7">
        <w:rPr>
          <w:rFonts w:ascii="Times New Roman" w:hAnsi="Times New Roman"/>
        </w:rPr>
        <w:t xml:space="preserve"> for generations to come.  </w:t>
      </w:r>
      <w:r w:rsidR="00CA1599">
        <w:rPr>
          <w:rFonts w:ascii="Times New Roman" w:hAnsi="Times New Roman"/>
        </w:rPr>
        <w:t xml:space="preserve">In this same vein, </w:t>
      </w:r>
      <w:r w:rsidR="00BF38BE">
        <w:rPr>
          <w:rFonts w:ascii="Times New Roman" w:hAnsi="Times New Roman"/>
        </w:rPr>
        <w:t xml:space="preserve">if CARB determines that Quebec's program meets California's stringent standards, and if authorities in Quebec make the corresponding determination about California's program, </w:t>
      </w:r>
      <w:r w:rsidR="00CA1599">
        <w:rPr>
          <w:rFonts w:ascii="Times New Roman" w:hAnsi="Times New Roman"/>
        </w:rPr>
        <w:t>l</w:t>
      </w:r>
      <w:r w:rsidR="004A4956">
        <w:rPr>
          <w:rFonts w:ascii="Times New Roman" w:hAnsi="Times New Roman"/>
        </w:rPr>
        <w:t xml:space="preserve">inking </w:t>
      </w:r>
      <w:r w:rsidR="00BF38BE">
        <w:rPr>
          <w:rFonts w:ascii="Times New Roman" w:hAnsi="Times New Roman"/>
        </w:rPr>
        <w:t xml:space="preserve">via mutual recognition </w:t>
      </w:r>
      <w:r w:rsidR="004A4956">
        <w:rPr>
          <w:rFonts w:ascii="Times New Roman" w:hAnsi="Times New Roman"/>
        </w:rPr>
        <w:t>could</w:t>
      </w:r>
      <w:r w:rsidR="004A4956" w:rsidRPr="00C515B7">
        <w:rPr>
          <w:rFonts w:ascii="Times New Roman" w:hAnsi="Times New Roman"/>
        </w:rPr>
        <w:t xml:space="preserve"> provide </w:t>
      </w:r>
      <w:r w:rsidR="00D713F7">
        <w:rPr>
          <w:rFonts w:ascii="Times New Roman" w:hAnsi="Times New Roman"/>
        </w:rPr>
        <w:t xml:space="preserve">additional flexibility and cost-saving opportunities </w:t>
      </w:r>
      <w:r w:rsidR="004A4956" w:rsidRPr="00C515B7">
        <w:rPr>
          <w:rFonts w:ascii="Times New Roman" w:hAnsi="Times New Roman"/>
        </w:rPr>
        <w:t>for regulated entities in both California and Quebec</w:t>
      </w:r>
      <w:r w:rsidR="00C32924">
        <w:rPr>
          <w:rFonts w:ascii="Times New Roman" w:hAnsi="Times New Roman"/>
        </w:rPr>
        <w:t>,</w:t>
      </w:r>
      <w:r w:rsidR="00CA1599">
        <w:rPr>
          <w:rFonts w:ascii="Times New Roman" w:hAnsi="Times New Roman"/>
        </w:rPr>
        <w:t xml:space="preserve"> thus improving the overall effectiveness of </w:t>
      </w:r>
      <w:r w:rsidR="00D713F7">
        <w:rPr>
          <w:rFonts w:ascii="Times New Roman" w:hAnsi="Times New Roman"/>
        </w:rPr>
        <w:t>each</w:t>
      </w:r>
      <w:r w:rsidR="00BF38BE">
        <w:rPr>
          <w:rFonts w:ascii="Times New Roman" w:hAnsi="Times New Roman"/>
        </w:rPr>
        <w:t xml:space="preserve"> jurisdiction</w:t>
      </w:r>
      <w:r w:rsidR="00D713F7">
        <w:rPr>
          <w:rFonts w:ascii="Times New Roman" w:hAnsi="Times New Roman"/>
        </w:rPr>
        <w:t>’</w:t>
      </w:r>
      <w:r w:rsidR="00BF38BE">
        <w:rPr>
          <w:rFonts w:ascii="Times New Roman" w:hAnsi="Times New Roman"/>
        </w:rPr>
        <w:t xml:space="preserve">s </w:t>
      </w:r>
      <w:r w:rsidR="00CA1599">
        <w:rPr>
          <w:rFonts w:ascii="Times New Roman" w:hAnsi="Times New Roman"/>
        </w:rPr>
        <w:t>cap-and-trade program</w:t>
      </w:r>
      <w:r w:rsidR="004A4956" w:rsidRPr="00C515B7">
        <w:rPr>
          <w:rFonts w:ascii="Times New Roman" w:hAnsi="Times New Roman"/>
        </w:rPr>
        <w:t>.</w:t>
      </w:r>
      <w:r w:rsidR="004A4956">
        <w:rPr>
          <w:rFonts w:ascii="Times New Roman" w:hAnsi="Times New Roman"/>
        </w:rPr>
        <w:t xml:space="preserve">  </w:t>
      </w:r>
    </w:p>
    <w:p w:rsidR="00CA1599" w:rsidRDefault="00CA1599" w:rsidP="00E4245C">
      <w:pPr>
        <w:rPr>
          <w:rFonts w:ascii="Times New Roman" w:hAnsi="Times New Roman"/>
        </w:rPr>
      </w:pPr>
    </w:p>
    <w:p w:rsidR="00AC4700" w:rsidRPr="00C515B7" w:rsidRDefault="00B3262F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EDF</w:t>
      </w:r>
      <w:r w:rsidR="00AF453B">
        <w:rPr>
          <w:rFonts w:ascii="Times New Roman" w:hAnsi="Times New Roman"/>
        </w:rPr>
        <w:t xml:space="preserve"> and NRDC</w:t>
      </w:r>
      <w:r w:rsidRPr="00C515B7">
        <w:rPr>
          <w:rFonts w:ascii="Times New Roman" w:hAnsi="Times New Roman"/>
        </w:rPr>
        <w:t xml:space="preserve"> </w:t>
      </w:r>
      <w:r w:rsidR="00AF453B">
        <w:rPr>
          <w:rFonts w:ascii="Times New Roman" w:hAnsi="Times New Roman"/>
        </w:rPr>
        <w:t>recognize</w:t>
      </w:r>
      <w:r w:rsidRPr="00C515B7">
        <w:rPr>
          <w:rFonts w:ascii="Times New Roman" w:hAnsi="Times New Roman"/>
        </w:rPr>
        <w:t xml:space="preserve"> that if </w:t>
      </w:r>
      <w:r w:rsidR="00E8724E">
        <w:rPr>
          <w:rFonts w:ascii="Times New Roman" w:hAnsi="Times New Roman"/>
        </w:rPr>
        <w:t xml:space="preserve">after making such a determination, </w:t>
      </w:r>
      <w:r w:rsidRPr="00C515B7">
        <w:rPr>
          <w:rFonts w:ascii="Times New Roman" w:hAnsi="Times New Roman"/>
        </w:rPr>
        <w:t xml:space="preserve">California is going to effectively offer the benefits </w:t>
      </w:r>
      <w:r w:rsidR="001A1CD3">
        <w:rPr>
          <w:rFonts w:ascii="Times New Roman" w:hAnsi="Times New Roman"/>
        </w:rPr>
        <w:t>of linking to its stakeholders,</w:t>
      </w:r>
      <w:r w:rsidR="0096563E">
        <w:rPr>
          <w:rFonts w:ascii="Times New Roman" w:hAnsi="Times New Roman"/>
        </w:rPr>
        <w:t xml:space="preserve"> </w:t>
      </w:r>
      <w:r w:rsidRPr="00C515B7">
        <w:rPr>
          <w:rFonts w:ascii="Times New Roman" w:hAnsi="Times New Roman"/>
        </w:rPr>
        <w:t xml:space="preserve">certain </w:t>
      </w:r>
      <w:r w:rsidR="00DD52F8">
        <w:rPr>
          <w:rFonts w:ascii="Times New Roman" w:hAnsi="Times New Roman"/>
        </w:rPr>
        <w:t xml:space="preserve">(though </w:t>
      </w:r>
      <w:r w:rsidRPr="00C515B7">
        <w:rPr>
          <w:rFonts w:ascii="Times New Roman" w:hAnsi="Times New Roman"/>
        </w:rPr>
        <w:t>not all</w:t>
      </w:r>
      <w:r w:rsidR="00DD52F8">
        <w:rPr>
          <w:rFonts w:ascii="Times New Roman" w:hAnsi="Times New Roman"/>
        </w:rPr>
        <w:t>)</w:t>
      </w:r>
      <w:r w:rsidRPr="00C515B7">
        <w:rPr>
          <w:rFonts w:ascii="Times New Roman" w:hAnsi="Times New Roman"/>
        </w:rPr>
        <w:t xml:space="preserve"> elements of the California and Quebec programs will need to be harmonized.  EDF</w:t>
      </w:r>
      <w:r w:rsidR="00AF453B">
        <w:rPr>
          <w:rFonts w:ascii="Times New Roman" w:hAnsi="Times New Roman"/>
        </w:rPr>
        <w:t xml:space="preserve"> and NRDC agree</w:t>
      </w:r>
      <w:r w:rsidRPr="00C515B7">
        <w:rPr>
          <w:rFonts w:ascii="Times New Roman" w:hAnsi="Times New Roman"/>
        </w:rPr>
        <w:t xml:space="preserve"> with CARB that </w:t>
      </w:r>
      <w:r w:rsidR="00E6541D">
        <w:rPr>
          <w:rFonts w:ascii="Times New Roman" w:hAnsi="Times New Roman"/>
        </w:rPr>
        <w:t xml:space="preserve">joint auctions, a </w:t>
      </w:r>
      <w:r w:rsidR="009C2B74">
        <w:rPr>
          <w:rFonts w:ascii="Times New Roman" w:hAnsi="Times New Roman"/>
        </w:rPr>
        <w:t xml:space="preserve">shared </w:t>
      </w:r>
      <w:r w:rsidR="00E6541D">
        <w:rPr>
          <w:rFonts w:ascii="Times New Roman" w:hAnsi="Times New Roman"/>
        </w:rPr>
        <w:t>compliance</w:t>
      </w:r>
      <w:r w:rsidR="00F43D54">
        <w:rPr>
          <w:rFonts w:ascii="Times New Roman" w:hAnsi="Times New Roman"/>
        </w:rPr>
        <w:t xml:space="preserve"> instrument</w:t>
      </w:r>
      <w:r w:rsidR="00E6541D">
        <w:rPr>
          <w:rFonts w:ascii="Times New Roman" w:hAnsi="Times New Roman"/>
        </w:rPr>
        <w:t xml:space="preserve"> tracking system, and </w:t>
      </w:r>
      <w:r w:rsidR="0096563E">
        <w:rPr>
          <w:rFonts w:ascii="Times New Roman" w:hAnsi="Times New Roman"/>
        </w:rPr>
        <w:t xml:space="preserve">equivalent </w:t>
      </w:r>
      <w:r w:rsidR="00E6541D">
        <w:rPr>
          <w:rFonts w:ascii="Times New Roman" w:hAnsi="Times New Roman"/>
        </w:rPr>
        <w:t xml:space="preserve">holding limits </w:t>
      </w:r>
      <w:r w:rsidR="0096563E">
        <w:rPr>
          <w:rFonts w:ascii="Times New Roman" w:hAnsi="Times New Roman"/>
        </w:rPr>
        <w:t xml:space="preserve">are among the programmatic elements that should be harmonized to </w:t>
      </w:r>
      <w:r w:rsidR="00E6541D">
        <w:rPr>
          <w:rFonts w:ascii="Times New Roman" w:hAnsi="Times New Roman"/>
        </w:rPr>
        <w:t xml:space="preserve">allow </w:t>
      </w:r>
      <w:r w:rsidR="00FE6A97" w:rsidRPr="00C515B7">
        <w:rPr>
          <w:rFonts w:ascii="Times New Roman" w:hAnsi="Times New Roman"/>
        </w:rPr>
        <w:t xml:space="preserve">California entities </w:t>
      </w:r>
      <w:r w:rsidR="00E6541D">
        <w:rPr>
          <w:rFonts w:ascii="Times New Roman" w:hAnsi="Times New Roman"/>
        </w:rPr>
        <w:t>better</w:t>
      </w:r>
      <w:r w:rsidR="00FE6A97" w:rsidRPr="00C515B7">
        <w:rPr>
          <w:rFonts w:ascii="Times New Roman" w:hAnsi="Times New Roman"/>
        </w:rPr>
        <w:t xml:space="preserve"> access </w:t>
      </w:r>
      <w:r w:rsidR="00E6541D">
        <w:rPr>
          <w:rFonts w:ascii="Times New Roman" w:hAnsi="Times New Roman"/>
        </w:rPr>
        <w:t xml:space="preserve">to </w:t>
      </w:r>
      <w:r w:rsidR="00FE6A97" w:rsidRPr="00C515B7">
        <w:rPr>
          <w:rFonts w:ascii="Times New Roman" w:hAnsi="Times New Roman"/>
        </w:rPr>
        <w:t>the market of fungible compliance instruments</w:t>
      </w:r>
      <w:r w:rsidR="00E6541D">
        <w:rPr>
          <w:rFonts w:ascii="Times New Roman" w:hAnsi="Times New Roman"/>
        </w:rPr>
        <w:t xml:space="preserve"> and will enhance </w:t>
      </w:r>
      <w:r w:rsidR="00FE6A97" w:rsidRPr="00C515B7">
        <w:rPr>
          <w:rFonts w:ascii="Times New Roman" w:hAnsi="Times New Roman"/>
        </w:rPr>
        <w:t xml:space="preserve">the integrity of </w:t>
      </w:r>
      <w:r w:rsidR="0096563E">
        <w:rPr>
          <w:rFonts w:ascii="Times New Roman" w:hAnsi="Times New Roman"/>
        </w:rPr>
        <w:t xml:space="preserve">both </w:t>
      </w:r>
      <w:r w:rsidR="00FE6A97" w:rsidRPr="00C515B7">
        <w:rPr>
          <w:rFonts w:ascii="Times New Roman" w:hAnsi="Times New Roman"/>
        </w:rPr>
        <w:t>program</w:t>
      </w:r>
      <w:r w:rsidR="0096563E">
        <w:rPr>
          <w:rFonts w:ascii="Times New Roman" w:hAnsi="Times New Roman"/>
        </w:rPr>
        <w:t>s</w:t>
      </w:r>
      <w:r w:rsidR="00FE6A97" w:rsidRPr="00C515B7">
        <w:rPr>
          <w:rFonts w:ascii="Times New Roman" w:hAnsi="Times New Roman"/>
        </w:rPr>
        <w:t xml:space="preserve">.  </w:t>
      </w:r>
      <w:r w:rsidR="00016A83" w:rsidRPr="00DD1125">
        <w:rPr>
          <w:rFonts w:ascii="Times New Roman" w:hAnsi="Times New Roman"/>
        </w:rPr>
        <w:t xml:space="preserve">WCI, Inc. – which was created as a not-for-profit organization in November, 2011 – will also allow </w:t>
      </w:r>
      <w:r w:rsidR="00D713F7">
        <w:rPr>
          <w:rFonts w:ascii="Times New Roman" w:hAnsi="Times New Roman"/>
        </w:rPr>
        <w:t>WCI</w:t>
      </w:r>
      <w:r w:rsidR="00016A83" w:rsidRPr="00DD1125">
        <w:rPr>
          <w:rFonts w:ascii="Times New Roman" w:hAnsi="Times New Roman"/>
        </w:rPr>
        <w:t xml:space="preserve"> participants to avoid duplicative efforts </w:t>
      </w:r>
      <w:r w:rsidR="00016A83" w:rsidRPr="00DD1125">
        <w:rPr>
          <w:rFonts w:ascii="Times New Roman" w:hAnsi="Times New Roman"/>
        </w:rPr>
        <w:lastRenderedPageBreak/>
        <w:t>and achieve cost-savings by carrying out logistical, administrative tasks for all participants</w:t>
      </w:r>
      <w:r w:rsidR="007E0696">
        <w:rPr>
          <w:rFonts w:ascii="Times New Roman" w:hAnsi="Times New Roman"/>
        </w:rPr>
        <w:t xml:space="preserve"> that would have been completed by an independent contractor if WCI, Inc. did not exist</w:t>
      </w:r>
      <w:r w:rsidR="00016A83" w:rsidRPr="00DD1125">
        <w:rPr>
          <w:rFonts w:ascii="Times New Roman" w:hAnsi="Times New Roman"/>
          <w:sz w:val="18"/>
          <w:szCs w:val="18"/>
        </w:rPr>
        <w:t>.</w:t>
      </w:r>
      <w:r w:rsidR="007E0696">
        <w:rPr>
          <w:rFonts w:ascii="Times New Roman" w:hAnsi="Times New Roman"/>
          <w:sz w:val="18"/>
          <w:szCs w:val="18"/>
        </w:rPr>
        <w:t xml:space="preserve">  </w:t>
      </w:r>
      <w:r w:rsidR="007E0696" w:rsidRPr="007E0696">
        <w:rPr>
          <w:rFonts w:ascii="Times New Roman" w:hAnsi="Times New Roman"/>
        </w:rPr>
        <w:t>Of course,</w:t>
      </w:r>
      <w:r w:rsidR="007E0696">
        <w:rPr>
          <w:rFonts w:ascii="Times New Roman" w:hAnsi="Times New Roman"/>
        </w:rPr>
        <w:t xml:space="preserve"> California will retain </w:t>
      </w:r>
      <w:r w:rsidR="00C32924">
        <w:rPr>
          <w:rFonts w:ascii="Times New Roman" w:hAnsi="Times New Roman"/>
        </w:rPr>
        <w:t>its</w:t>
      </w:r>
      <w:r w:rsidR="007E0696">
        <w:rPr>
          <w:rFonts w:ascii="Times New Roman" w:hAnsi="Times New Roman"/>
        </w:rPr>
        <w:t xml:space="preserve"> full suite</w:t>
      </w:r>
      <w:r w:rsidR="001A1CD3">
        <w:rPr>
          <w:rFonts w:ascii="Times New Roman" w:hAnsi="Times New Roman"/>
        </w:rPr>
        <w:t xml:space="preserve"> of</w:t>
      </w:r>
      <w:r w:rsidR="007E0696">
        <w:rPr>
          <w:rFonts w:ascii="Times New Roman" w:hAnsi="Times New Roman"/>
        </w:rPr>
        <w:t xml:space="preserve"> enforcement tools</w:t>
      </w:r>
      <w:r w:rsidR="00C32924">
        <w:rPr>
          <w:rFonts w:ascii="Times New Roman" w:hAnsi="Times New Roman"/>
        </w:rPr>
        <w:t>,</w:t>
      </w:r>
      <w:r w:rsidR="007E0696">
        <w:rPr>
          <w:rFonts w:ascii="Times New Roman" w:hAnsi="Times New Roman"/>
        </w:rPr>
        <w:t xml:space="preserve"> ensuring that it can exert full authority over regulated entities doing business in California.</w:t>
      </w:r>
      <w:r w:rsidR="007E0696" w:rsidRPr="007E0696">
        <w:rPr>
          <w:rFonts w:ascii="Times New Roman" w:hAnsi="Times New Roman"/>
        </w:rPr>
        <w:t xml:space="preserve"> </w:t>
      </w:r>
      <w:r w:rsidR="00277CFC" w:rsidRPr="007E0696">
        <w:rPr>
          <w:rFonts w:ascii="Times New Roman" w:hAnsi="Times New Roman"/>
        </w:rPr>
        <w:t xml:space="preserve">  </w:t>
      </w:r>
      <w:r w:rsidR="00FE6A97" w:rsidRPr="007E0696">
        <w:rPr>
          <w:rFonts w:ascii="Times New Roman" w:hAnsi="Times New Roman"/>
        </w:rPr>
        <w:t xml:space="preserve">   </w:t>
      </w:r>
    </w:p>
    <w:p w:rsidR="00277CFC" w:rsidRPr="00C515B7" w:rsidRDefault="00277CFC" w:rsidP="00E4245C">
      <w:pPr>
        <w:rPr>
          <w:rFonts w:ascii="Times New Roman" w:hAnsi="Times New Roman"/>
        </w:rPr>
      </w:pPr>
    </w:p>
    <w:p w:rsidR="00EB4DFB" w:rsidRPr="00C515B7" w:rsidRDefault="00277CFC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EDF</w:t>
      </w:r>
      <w:r w:rsidR="00AF453B">
        <w:rPr>
          <w:rFonts w:ascii="Times New Roman" w:hAnsi="Times New Roman"/>
        </w:rPr>
        <w:t xml:space="preserve"> and NRDC also want</w:t>
      </w:r>
      <w:r w:rsidRPr="00C515B7">
        <w:rPr>
          <w:rFonts w:ascii="Times New Roman" w:hAnsi="Times New Roman"/>
        </w:rPr>
        <w:t xml:space="preserve"> to commend CARB for its participation in the WCI.  </w:t>
      </w:r>
      <w:r w:rsidR="00D6177B" w:rsidRPr="00C515B7">
        <w:rPr>
          <w:rFonts w:ascii="Times New Roman" w:hAnsi="Times New Roman"/>
        </w:rPr>
        <w:t xml:space="preserve">By joining WCI, California </w:t>
      </w:r>
      <w:r w:rsidR="00C32924">
        <w:rPr>
          <w:rFonts w:ascii="Times New Roman" w:hAnsi="Times New Roman"/>
        </w:rPr>
        <w:t>recognized</w:t>
      </w:r>
      <w:r w:rsidR="00D6177B" w:rsidRPr="00C515B7">
        <w:rPr>
          <w:rFonts w:ascii="Times New Roman" w:hAnsi="Times New Roman"/>
        </w:rPr>
        <w:t xml:space="preserve"> that climate change is a global challenge and that emissions must be reduced quickly and effectively worldwide in order to avoid the most </w:t>
      </w:r>
      <w:r w:rsidR="00BE3B9A" w:rsidRPr="00C515B7">
        <w:rPr>
          <w:rFonts w:ascii="Times New Roman" w:hAnsi="Times New Roman"/>
        </w:rPr>
        <w:t>devastating</w:t>
      </w:r>
      <w:r w:rsidR="00D6177B" w:rsidRPr="00C515B7">
        <w:rPr>
          <w:rFonts w:ascii="Times New Roman" w:hAnsi="Times New Roman"/>
        </w:rPr>
        <w:t xml:space="preserve"> impacts of climate change.  As a state, California can best work towards this goal by designing and implementing </w:t>
      </w:r>
      <w:r w:rsidR="00BE3B9A" w:rsidRPr="00C515B7">
        <w:rPr>
          <w:rFonts w:ascii="Times New Roman" w:hAnsi="Times New Roman"/>
        </w:rPr>
        <w:t>a strong program that</w:t>
      </w:r>
      <w:r w:rsidR="00D6177B" w:rsidRPr="00C515B7">
        <w:rPr>
          <w:rFonts w:ascii="Times New Roman" w:hAnsi="Times New Roman"/>
        </w:rPr>
        <w:t xml:space="preserve"> demonstrat</w:t>
      </w:r>
      <w:r w:rsidR="00F13095" w:rsidRPr="00C515B7">
        <w:rPr>
          <w:rFonts w:ascii="Times New Roman" w:hAnsi="Times New Roman"/>
        </w:rPr>
        <w:t>es</w:t>
      </w:r>
      <w:r w:rsidR="00D6177B" w:rsidRPr="00C515B7">
        <w:rPr>
          <w:rFonts w:ascii="Times New Roman" w:hAnsi="Times New Roman"/>
        </w:rPr>
        <w:t xml:space="preserve"> to other global actors that reductions</w:t>
      </w:r>
      <w:r w:rsidR="00E525C3" w:rsidRPr="00C515B7">
        <w:rPr>
          <w:rFonts w:ascii="Times New Roman" w:hAnsi="Times New Roman"/>
        </w:rPr>
        <w:t xml:space="preserve"> are</w:t>
      </w:r>
      <w:r w:rsidR="00D6177B" w:rsidRPr="00C515B7">
        <w:rPr>
          <w:rFonts w:ascii="Times New Roman" w:hAnsi="Times New Roman"/>
        </w:rPr>
        <w:t xml:space="preserve"> achievable. The WCI coalesced as a group of </w:t>
      </w:r>
      <w:r w:rsidR="001A1CD3" w:rsidRPr="00C515B7">
        <w:rPr>
          <w:rFonts w:ascii="Times New Roman" w:hAnsi="Times New Roman"/>
        </w:rPr>
        <w:t>likeminded</w:t>
      </w:r>
      <w:r w:rsidR="00D6177B" w:rsidRPr="00C515B7">
        <w:rPr>
          <w:rFonts w:ascii="Times New Roman" w:hAnsi="Times New Roman"/>
        </w:rPr>
        <w:t xml:space="preserve"> states and provinces</w:t>
      </w:r>
      <w:r w:rsidR="00BE3B9A" w:rsidRPr="00C515B7">
        <w:rPr>
          <w:rFonts w:ascii="Times New Roman" w:hAnsi="Times New Roman"/>
        </w:rPr>
        <w:t>,</w:t>
      </w:r>
      <w:r w:rsidR="00D6177B" w:rsidRPr="00C515B7">
        <w:rPr>
          <w:rFonts w:ascii="Times New Roman" w:hAnsi="Times New Roman"/>
        </w:rPr>
        <w:t xml:space="preserve"> brought together by their shared sense of the urgent need to reduce GHG emissions.  The WCI provided a platform for these states and provinces to share information and </w:t>
      </w:r>
      <w:r w:rsidR="00EC0C0D" w:rsidRPr="00C515B7">
        <w:rPr>
          <w:rFonts w:ascii="Times New Roman" w:hAnsi="Times New Roman"/>
        </w:rPr>
        <w:t xml:space="preserve">discuss best practices for reducing emissions.  Because of WCI’s role as an information portal, California and Quebec ended up on parallel tracks </w:t>
      </w:r>
      <w:r w:rsidR="00D713F7">
        <w:rPr>
          <w:rFonts w:ascii="Times New Roman" w:hAnsi="Times New Roman"/>
        </w:rPr>
        <w:t>with</w:t>
      </w:r>
      <w:r w:rsidR="00EC0C0D" w:rsidRPr="00C515B7">
        <w:rPr>
          <w:rFonts w:ascii="Times New Roman" w:hAnsi="Times New Roman"/>
        </w:rPr>
        <w:t xml:space="preserve"> cap-and-trade programs that are similar enough that linking the programs is possible and could result in many benefits to each jurisdiction.</w:t>
      </w:r>
    </w:p>
    <w:p w:rsidR="00EB4DFB" w:rsidRPr="00C515B7" w:rsidRDefault="00EB4DFB" w:rsidP="00E4245C">
      <w:pPr>
        <w:rPr>
          <w:rFonts w:ascii="Times New Roman" w:hAnsi="Times New Roman"/>
        </w:rPr>
      </w:pPr>
    </w:p>
    <w:p w:rsidR="00277CFC" w:rsidRPr="00C515B7" w:rsidRDefault="00F43D54" w:rsidP="00E424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CARB has provided a key resource to California stakeholders by publishing relevant information about regulated entities under the California program such as name, location, historical emissions and economic sector; we recommend that the same is provided for sources within Quebec’s program.  </w:t>
      </w:r>
      <w:r w:rsidR="00EB4DFB" w:rsidRPr="00C515B7">
        <w:rPr>
          <w:rFonts w:ascii="Times New Roman" w:hAnsi="Times New Roman"/>
        </w:rPr>
        <w:t>Overall, EDF</w:t>
      </w:r>
      <w:r w:rsidR="00AF453B">
        <w:rPr>
          <w:rFonts w:ascii="Times New Roman" w:hAnsi="Times New Roman"/>
        </w:rPr>
        <w:t xml:space="preserve"> and NRDC see</w:t>
      </w:r>
      <w:r w:rsidR="00EB4DFB" w:rsidRPr="00C515B7">
        <w:rPr>
          <w:rFonts w:ascii="Times New Roman" w:hAnsi="Times New Roman"/>
        </w:rPr>
        <w:t xml:space="preserve"> </w:t>
      </w:r>
      <w:r w:rsidR="00D713F7">
        <w:rPr>
          <w:rFonts w:ascii="Times New Roman" w:hAnsi="Times New Roman"/>
        </w:rPr>
        <w:t xml:space="preserve">tremendous benefits and potential in assessing </w:t>
      </w:r>
      <w:r w:rsidR="00E8724E">
        <w:rPr>
          <w:rFonts w:ascii="Times New Roman" w:hAnsi="Times New Roman"/>
        </w:rPr>
        <w:t xml:space="preserve">the possibility of </w:t>
      </w:r>
      <w:r w:rsidR="00EB4DFB" w:rsidRPr="00C515B7">
        <w:rPr>
          <w:rFonts w:ascii="Times New Roman" w:hAnsi="Times New Roman"/>
        </w:rPr>
        <w:t>link</w:t>
      </w:r>
      <w:r w:rsidR="00D713F7">
        <w:rPr>
          <w:rFonts w:ascii="Times New Roman" w:hAnsi="Times New Roman"/>
        </w:rPr>
        <w:t>ing</w:t>
      </w:r>
      <w:r w:rsidR="00EB4DFB" w:rsidRPr="00C515B7">
        <w:rPr>
          <w:rFonts w:ascii="Times New Roman" w:hAnsi="Times New Roman"/>
        </w:rPr>
        <w:t xml:space="preserve"> with Quebec</w:t>
      </w:r>
      <w:r w:rsidR="00D713F7">
        <w:rPr>
          <w:rFonts w:ascii="Times New Roman" w:hAnsi="Times New Roman"/>
        </w:rPr>
        <w:t xml:space="preserve"> and future jurisdictions that meet the stringency of California’s program.</w:t>
      </w:r>
    </w:p>
    <w:p w:rsidR="000412B3" w:rsidRPr="00C515B7" w:rsidRDefault="000412B3" w:rsidP="00E4245C">
      <w:pPr>
        <w:rPr>
          <w:rFonts w:ascii="Times New Roman" w:hAnsi="Times New Roman"/>
        </w:rPr>
      </w:pPr>
    </w:p>
    <w:p w:rsidR="000919B9" w:rsidRPr="00C515B7" w:rsidRDefault="007115A5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Thank you</w:t>
      </w:r>
      <w:r w:rsidR="000919B9" w:rsidRPr="00C515B7">
        <w:rPr>
          <w:rFonts w:ascii="Times New Roman" w:hAnsi="Times New Roman"/>
        </w:rPr>
        <w:t xml:space="preserve"> for your consideration of the</w:t>
      </w:r>
      <w:r w:rsidRPr="00C515B7">
        <w:rPr>
          <w:rFonts w:ascii="Times New Roman" w:hAnsi="Times New Roman"/>
        </w:rPr>
        <w:t>se</w:t>
      </w:r>
      <w:r w:rsidR="000919B9" w:rsidRPr="00C515B7">
        <w:rPr>
          <w:rFonts w:ascii="Times New Roman" w:hAnsi="Times New Roman"/>
        </w:rPr>
        <w:t xml:space="preserve"> comments on the </w:t>
      </w:r>
      <w:r w:rsidR="00C32924">
        <w:rPr>
          <w:rFonts w:ascii="Times New Roman" w:hAnsi="Times New Roman"/>
        </w:rPr>
        <w:t>c</w:t>
      </w:r>
      <w:r w:rsidR="00915580" w:rsidRPr="00C515B7">
        <w:rPr>
          <w:rFonts w:ascii="Times New Roman" w:hAnsi="Times New Roman"/>
        </w:rPr>
        <w:t>ap-and-trade linkage workshop</w:t>
      </w:r>
      <w:r w:rsidRPr="00C515B7">
        <w:rPr>
          <w:rFonts w:ascii="Times New Roman" w:hAnsi="Times New Roman"/>
        </w:rPr>
        <w:t xml:space="preserve">.  </w:t>
      </w:r>
      <w:r w:rsidR="006D2A7F">
        <w:rPr>
          <w:rFonts w:ascii="Times New Roman" w:hAnsi="Times New Roman"/>
        </w:rPr>
        <w:t>We look</w:t>
      </w:r>
      <w:r w:rsidRPr="00C515B7">
        <w:rPr>
          <w:rFonts w:ascii="Times New Roman" w:hAnsi="Times New Roman"/>
        </w:rPr>
        <w:t xml:space="preserve"> forward to working with CARB and providing further comments as this rulemaking proceeds.</w:t>
      </w:r>
      <w:bookmarkStart w:id="0" w:name="_GoBack"/>
      <w:bookmarkEnd w:id="0"/>
    </w:p>
    <w:p w:rsidR="000919B9" w:rsidRPr="00C515B7" w:rsidRDefault="000919B9" w:rsidP="00E4245C">
      <w:pPr>
        <w:rPr>
          <w:rFonts w:ascii="Times New Roman" w:hAnsi="Times New Roman"/>
        </w:rPr>
      </w:pPr>
    </w:p>
    <w:p w:rsidR="000919B9" w:rsidRDefault="000919B9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 xml:space="preserve">If you have any questions or concerns regarding the comments made in this letter, please contact </w:t>
      </w:r>
      <w:r w:rsidR="00AC4700" w:rsidRPr="00C515B7">
        <w:rPr>
          <w:rFonts w:ascii="Times New Roman" w:hAnsi="Times New Roman"/>
        </w:rPr>
        <w:t xml:space="preserve">Erica Morehouse at </w:t>
      </w:r>
      <w:hyperlink r:id="rId10" w:history="1">
        <w:r w:rsidR="00AC4700" w:rsidRPr="00C515B7">
          <w:rPr>
            <w:rStyle w:val="Hyperlink"/>
            <w:rFonts w:ascii="Times New Roman" w:hAnsi="Times New Roman"/>
          </w:rPr>
          <w:t>emorehouse@edf.org</w:t>
        </w:r>
      </w:hyperlink>
      <w:r w:rsidR="00AC4700" w:rsidRPr="00C515B7">
        <w:rPr>
          <w:rFonts w:ascii="Times New Roman" w:hAnsi="Times New Roman"/>
        </w:rPr>
        <w:t>; (916)492-4680</w:t>
      </w:r>
      <w:r w:rsidRPr="00C515B7">
        <w:rPr>
          <w:rFonts w:ascii="Times New Roman" w:hAnsi="Times New Roman"/>
        </w:rPr>
        <w:t>.</w:t>
      </w:r>
    </w:p>
    <w:p w:rsidR="00324DB5" w:rsidRPr="00C515B7" w:rsidRDefault="00324DB5" w:rsidP="00E4245C">
      <w:pPr>
        <w:rPr>
          <w:rFonts w:ascii="Times New Roman" w:hAnsi="Times New Roman"/>
        </w:rPr>
      </w:pPr>
    </w:p>
    <w:p w:rsidR="00D05E64" w:rsidRDefault="000919B9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Sincerely,</w:t>
      </w:r>
    </w:p>
    <w:p w:rsidR="00BA6B86" w:rsidRDefault="00BA6B86" w:rsidP="00E424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84455</wp:posOffset>
            </wp:positionV>
            <wp:extent cx="956310" cy="396240"/>
            <wp:effectExtent l="19050" t="0" r="0" b="0"/>
            <wp:wrapNone/>
            <wp:docPr id="1" name="Picture 0" descr="Tim O'Conno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O'Connor Signa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3"/>
      </w:tblGrid>
      <w:tr w:rsidR="00D05E64" w:rsidTr="00324DB5">
        <w:trPr>
          <w:trHeight w:val="676"/>
        </w:trPr>
        <w:tc>
          <w:tcPr>
            <w:tcW w:w="4873" w:type="dxa"/>
          </w:tcPr>
          <w:p w:rsidR="00CF495A" w:rsidRDefault="00CF495A" w:rsidP="00D05E64">
            <w:pPr>
              <w:rPr>
                <w:rFonts w:ascii="Times New Roman" w:hAnsi="Times New Roman"/>
              </w:rPr>
            </w:pPr>
          </w:p>
          <w:p w:rsidR="00BA6B86" w:rsidRDefault="00BA6B86" w:rsidP="00D05E64">
            <w:pPr>
              <w:rPr>
                <w:rFonts w:ascii="Times New Roman" w:hAnsi="Times New Roman"/>
              </w:rPr>
            </w:pPr>
          </w:p>
          <w:p w:rsidR="00D05E64" w:rsidRPr="00C515B7" w:rsidRDefault="00D05E64" w:rsidP="00D05E64">
            <w:pPr>
              <w:rPr>
                <w:rFonts w:ascii="Times New Roman" w:hAnsi="Times New Roman"/>
              </w:rPr>
            </w:pPr>
            <w:r w:rsidRPr="00C515B7">
              <w:rPr>
                <w:rFonts w:ascii="Times New Roman" w:hAnsi="Times New Roman"/>
              </w:rPr>
              <w:t>Tim O’Connor</w:t>
            </w:r>
          </w:p>
          <w:p w:rsidR="00D05E64" w:rsidRDefault="00D05E64" w:rsidP="00D05E64">
            <w:pPr>
              <w:rPr>
                <w:rFonts w:ascii="Times New Roman" w:hAnsi="Times New Roman"/>
              </w:rPr>
            </w:pPr>
            <w:r w:rsidRPr="00C515B7">
              <w:rPr>
                <w:rFonts w:ascii="Times New Roman" w:hAnsi="Times New Roman"/>
              </w:rPr>
              <w:t>Director, California Climate and Energy Initiative</w:t>
            </w:r>
          </w:p>
          <w:p w:rsidR="00CF495A" w:rsidRDefault="00CF495A" w:rsidP="00D05E64">
            <w:pPr>
              <w:rPr>
                <w:rFonts w:ascii="Times New Roman" w:hAnsi="Times New Roman"/>
              </w:rPr>
            </w:pPr>
            <w:r w:rsidRPr="00C515B7">
              <w:rPr>
                <w:rFonts w:ascii="Times New Roman" w:hAnsi="Times New Roman"/>
              </w:rPr>
              <w:t>Environmental Defense Fund</w:t>
            </w:r>
          </w:p>
          <w:p w:rsidR="00CF495A" w:rsidRDefault="00CF495A" w:rsidP="00D05E64">
            <w:pPr>
              <w:rPr>
                <w:rFonts w:ascii="Times New Roman" w:hAnsi="Times New Roman"/>
              </w:rPr>
            </w:pPr>
          </w:p>
          <w:p w:rsidR="00CF495A" w:rsidRDefault="00CF495A" w:rsidP="00D05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54145" cy="274320"/>
                  <wp:effectExtent l="19050" t="0" r="8005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14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64" w:rsidRDefault="00D05E64" w:rsidP="00D05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Erica Morehouse</w:t>
            </w:r>
          </w:p>
          <w:p w:rsidR="00D05E64" w:rsidRDefault="00D05E64" w:rsidP="00D05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Policy and Legal Analyst</w:t>
            </w:r>
          </w:p>
          <w:p w:rsidR="00D05E64" w:rsidRDefault="00CF495A" w:rsidP="00E4245C">
            <w:pPr>
              <w:rPr>
                <w:rFonts w:ascii="Times New Roman" w:hAnsi="Times New Roman"/>
              </w:rPr>
            </w:pPr>
            <w:r w:rsidRPr="00C515B7">
              <w:rPr>
                <w:rFonts w:ascii="Times New Roman" w:hAnsi="Times New Roman"/>
              </w:rPr>
              <w:t>Environmental Defense Fun</w:t>
            </w:r>
            <w:r w:rsidR="00BA6B86">
              <w:rPr>
                <w:rFonts w:ascii="Times New Roman" w:hAnsi="Times New Roman"/>
              </w:rPr>
              <w:t>d</w:t>
            </w:r>
          </w:p>
        </w:tc>
        <w:tc>
          <w:tcPr>
            <w:tcW w:w="4873" w:type="dxa"/>
          </w:tcPr>
          <w:p w:rsidR="00CF495A" w:rsidRDefault="00CF495A" w:rsidP="00E4245C">
            <w:pPr>
              <w:rPr>
                <w:rFonts w:ascii="Times New Roman" w:hAnsi="Times New Roman"/>
              </w:rPr>
            </w:pPr>
          </w:p>
          <w:p w:rsidR="00BA6B86" w:rsidRDefault="00BA6B86" w:rsidP="00E42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0563" cy="281940"/>
                  <wp:effectExtent l="19050" t="0" r="8187" b="0"/>
                  <wp:docPr id="2" name="Picture 2" descr="C:\Users\emorehouse\AppData\Local\Microsoft\Windows\Temporary Internet Files\Content.Outlook\72PMOQI0\KE e-s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orehouse\AppData\Local\Microsoft\Windows\Temporary Internet Files\Content.Outlook\72PMOQI0\KE e-si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63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64" w:rsidRDefault="00D05E64" w:rsidP="00E42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 G. Eberhard</w:t>
            </w:r>
          </w:p>
          <w:p w:rsidR="00CF495A" w:rsidRDefault="00D05E64" w:rsidP="00D05E64">
            <w:pPr>
              <w:shd w:val="clear" w:color="auto" w:fill="FFFFFF"/>
              <w:spacing w:after="120"/>
              <w:contextualSpacing/>
              <w:outlineLvl w:val="0"/>
              <w:rPr>
                <w:rFonts w:ascii="Times New Roman" w:hAnsi="Times New Roman"/>
                <w:kern w:val="36"/>
              </w:rPr>
            </w:pPr>
            <w:r w:rsidRPr="00D05E64">
              <w:rPr>
                <w:rFonts w:ascii="Times New Roman" w:hAnsi="Times New Roman"/>
                <w:kern w:val="36"/>
              </w:rPr>
              <w:t>Legal Director, Western Energy and Climate Projects</w:t>
            </w:r>
          </w:p>
          <w:p w:rsidR="00CF495A" w:rsidRDefault="00CF495A" w:rsidP="00D05E64">
            <w:pPr>
              <w:shd w:val="clear" w:color="auto" w:fill="FFFFFF"/>
              <w:spacing w:after="120"/>
              <w:contextualSpacing/>
              <w:outlineLvl w:val="0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 xml:space="preserve">Natural Resources Defense Council </w:t>
            </w:r>
          </w:p>
          <w:p w:rsidR="00BA6B86" w:rsidRDefault="00BA6B86" w:rsidP="00BA6B86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15" w:type="dxa"/>
              <w:tblLook w:val="04A0"/>
            </w:tblPr>
            <w:tblGrid>
              <w:gridCol w:w="2100"/>
              <w:gridCol w:w="2102"/>
            </w:tblGrid>
            <w:tr w:rsidR="00BA6B86" w:rsidTr="00324DB5">
              <w:trPr>
                <w:trHeight w:val="267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B86" w:rsidRPr="00BA6B86" w:rsidRDefault="00BA6B86" w:rsidP="00BA6B8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</w:t>
                  </w:r>
                  <w:r w:rsidRPr="00BA6B86">
                    <w:rPr>
                      <w:rFonts w:ascii="Times New Roman" w:hAnsi="Times New Roman"/>
                      <w:b/>
                    </w:rPr>
                    <w:t>c:</w:t>
                  </w:r>
                </w:p>
                <w:p w:rsidR="00BA6B86" w:rsidRPr="00C515B7" w:rsidRDefault="00BA6B86" w:rsidP="00BA6B86">
                  <w:pPr>
                    <w:rPr>
                      <w:rFonts w:ascii="Times New Roman" w:hAnsi="Times New Roman"/>
                    </w:rPr>
                  </w:pPr>
                  <w:r w:rsidRPr="00C515B7">
                    <w:rPr>
                      <w:rFonts w:ascii="Times New Roman" w:hAnsi="Times New Roman"/>
                    </w:rPr>
                    <w:t>Mary Nichols</w:t>
                  </w:r>
                </w:p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Ellen Peter</w:t>
                  </w:r>
                </w:p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  <w:r w:rsidRPr="00C515B7">
                    <w:rPr>
                      <w:rFonts w:ascii="Times New Roman" w:hAnsi="Times New Roman"/>
                    </w:rPr>
                    <w:t>Virgil Welch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</w:p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  <w:r w:rsidRPr="00C515B7">
                    <w:rPr>
                      <w:rFonts w:ascii="Times New Roman" w:hAnsi="Times New Roman"/>
                    </w:rPr>
                    <w:t>Edie Chang</w:t>
                  </w:r>
                </w:p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Holly Stout</w:t>
                  </w:r>
                </w:p>
                <w:p w:rsidR="00BA6B86" w:rsidRDefault="00BA6B86" w:rsidP="00BA6B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Jason Gray</w:t>
                  </w:r>
                </w:p>
              </w:tc>
            </w:tr>
          </w:tbl>
          <w:p w:rsidR="00D05E64" w:rsidRDefault="00D05E64" w:rsidP="00E4245C">
            <w:pPr>
              <w:rPr>
                <w:rFonts w:ascii="Times New Roman" w:hAnsi="Times New Roman"/>
              </w:rPr>
            </w:pPr>
          </w:p>
        </w:tc>
      </w:tr>
      <w:tr w:rsidR="00BA6B86" w:rsidTr="00324DB5">
        <w:trPr>
          <w:trHeight w:val="21"/>
        </w:trPr>
        <w:tc>
          <w:tcPr>
            <w:tcW w:w="4873" w:type="dxa"/>
          </w:tcPr>
          <w:p w:rsidR="00BA6B86" w:rsidRDefault="00BA6B86" w:rsidP="00D05E64">
            <w:pPr>
              <w:rPr>
                <w:rFonts w:ascii="Times New Roman" w:hAnsi="Times New Roman"/>
              </w:rPr>
            </w:pPr>
          </w:p>
        </w:tc>
        <w:tc>
          <w:tcPr>
            <w:tcW w:w="4873" w:type="dxa"/>
          </w:tcPr>
          <w:p w:rsidR="00BA6B86" w:rsidRDefault="00BA6B86" w:rsidP="00E4245C">
            <w:pPr>
              <w:rPr>
                <w:rFonts w:ascii="Times New Roman" w:hAnsi="Times New Roman"/>
              </w:rPr>
            </w:pPr>
          </w:p>
        </w:tc>
      </w:tr>
    </w:tbl>
    <w:p w:rsidR="001824F1" w:rsidRPr="00C515B7" w:rsidRDefault="001824F1" w:rsidP="00324DB5">
      <w:pPr>
        <w:rPr>
          <w:rFonts w:ascii="Times New Roman" w:hAnsi="Times New Roman"/>
        </w:rPr>
      </w:pPr>
    </w:p>
    <w:sectPr w:rsidR="001824F1" w:rsidRPr="00C515B7" w:rsidSect="009440C8">
      <w:footerReference w:type="even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E6" w:rsidRDefault="000E2CE6" w:rsidP="005D097C">
      <w:r>
        <w:separator/>
      </w:r>
    </w:p>
  </w:endnote>
  <w:endnote w:type="continuationSeparator" w:id="0">
    <w:p w:rsidR="000E2CE6" w:rsidRDefault="000E2CE6" w:rsidP="005D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1D" w:rsidRDefault="005845B0" w:rsidP="005D0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1D" w:rsidRDefault="00E65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1D" w:rsidRDefault="005845B0" w:rsidP="005D0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75A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1D" w:rsidRDefault="00E65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E6" w:rsidRDefault="000E2CE6" w:rsidP="005D097C">
      <w:r>
        <w:separator/>
      </w:r>
    </w:p>
  </w:footnote>
  <w:footnote w:type="continuationSeparator" w:id="0">
    <w:p w:rsidR="000E2CE6" w:rsidRDefault="000E2CE6" w:rsidP="005D097C">
      <w:r>
        <w:continuationSeparator/>
      </w:r>
    </w:p>
  </w:footnote>
  <w:footnote w:id="1">
    <w:p w:rsidR="00E6541D" w:rsidRDefault="00E6541D">
      <w:pPr>
        <w:pStyle w:val="FootnoteText"/>
      </w:pPr>
      <w:r>
        <w:rPr>
          <w:rStyle w:val="FootnoteReference"/>
        </w:rPr>
        <w:footnoteRef/>
      </w:r>
      <w:r>
        <w:t xml:space="preserve"> In this letter we use the terms “linking” or “linkage” to mean that compliance instruments </w:t>
      </w:r>
      <w:r w:rsidR="0001648F">
        <w:t>issued by</w:t>
      </w:r>
      <w:r>
        <w:t xml:space="preserve"> </w:t>
      </w:r>
      <w:r>
        <w:rPr>
          <w:rFonts w:asciiTheme="majorHAnsi" w:hAnsiTheme="majorHAnsi"/>
        </w:rPr>
        <w:t xml:space="preserve">California and another jurisdiction are fungible because </w:t>
      </w:r>
      <w:r w:rsidR="00BF38BE">
        <w:rPr>
          <w:rFonts w:asciiTheme="majorHAnsi" w:hAnsiTheme="majorHAnsi"/>
        </w:rPr>
        <w:t xml:space="preserve">the responsible governmental authorities in </w:t>
      </w:r>
      <w:r w:rsidR="001F10F9">
        <w:rPr>
          <w:rFonts w:asciiTheme="majorHAnsi" w:hAnsiTheme="majorHAnsi"/>
        </w:rPr>
        <w:t xml:space="preserve">each </w:t>
      </w:r>
      <w:r>
        <w:rPr>
          <w:rFonts w:asciiTheme="majorHAnsi" w:hAnsiTheme="majorHAnsi"/>
        </w:rPr>
        <w:t>jurisdiction ha</w:t>
      </w:r>
      <w:r w:rsidR="00BF38BE">
        <w:rPr>
          <w:rFonts w:asciiTheme="majorHAnsi" w:hAnsiTheme="majorHAnsi"/>
        </w:rPr>
        <w:t>ve</w:t>
      </w:r>
      <w:r>
        <w:rPr>
          <w:rFonts w:asciiTheme="majorHAnsi" w:hAnsiTheme="majorHAnsi"/>
        </w:rPr>
        <w:t xml:space="preserve"> independently evaluated the stringency, quality, and overall design of the </w:t>
      </w:r>
      <w:r w:rsidR="0001648F">
        <w:rPr>
          <w:rFonts w:asciiTheme="majorHAnsi" w:hAnsiTheme="majorHAnsi"/>
        </w:rPr>
        <w:t>external</w:t>
      </w:r>
      <w:r>
        <w:rPr>
          <w:rFonts w:asciiTheme="majorHAnsi" w:hAnsiTheme="majorHAnsi"/>
        </w:rPr>
        <w:t xml:space="preserve"> program</w:t>
      </w:r>
      <w:r w:rsidR="0001648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BA6B86">
        <w:rPr>
          <w:rFonts w:asciiTheme="majorHAnsi" w:hAnsiTheme="majorHAnsi"/>
        </w:rPr>
        <w:t>conclud</w:t>
      </w:r>
      <w:r w:rsidR="0001648F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that </w:t>
      </w:r>
      <w:r w:rsidR="001F10F9">
        <w:rPr>
          <w:rFonts w:asciiTheme="majorHAnsi" w:hAnsiTheme="majorHAnsi"/>
        </w:rPr>
        <w:t xml:space="preserve">the </w:t>
      </w:r>
      <w:r w:rsidR="0001648F">
        <w:rPr>
          <w:rFonts w:asciiTheme="majorHAnsi" w:hAnsiTheme="majorHAnsi"/>
        </w:rPr>
        <w:t xml:space="preserve">external </w:t>
      </w:r>
      <w:r w:rsidR="001F10F9">
        <w:rPr>
          <w:rFonts w:asciiTheme="majorHAnsi" w:hAnsiTheme="majorHAnsi"/>
        </w:rPr>
        <w:t>program</w:t>
      </w:r>
      <w:r w:rsidR="00BF38BE">
        <w:rPr>
          <w:rFonts w:asciiTheme="majorHAnsi" w:hAnsiTheme="majorHAnsi"/>
        </w:rPr>
        <w:t xml:space="preserve"> is of comparable environmental integrity</w:t>
      </w:r>
      <w:r w:rsidR="0001648F">
        <w:rPr>
          <w:rFonts w:asciiTheme="majorHAnsi" w:hAnsiTheme="majorHAnsi"/>
        </w:rPr>
        <w:t xml:space="preserve"> to the home jurisdiction’s program;</w:t>
      </w:r>
      <w:r w:rsidR="00BF38BE">
        <w:rPr>
          <w:rFonts w:asciiTheme="majorHAnsi" w:hAnsiTheme="majorHAnsi"/>
        </w:rPr>
        <w:t xml:space="preserve"> and determined that </w:t>
      </w:r>
      <w:r>
        <w:rPr>
          <w:rFonts w:asciiTheme="majorHAnsi" w:hAnsiTheme="majorHAnsi"/>
        </w:rPr>
        <w:t>it is in the</w:t>
      </w:r>
      <w:r w:rsidR="0001648F">
        <w:rPr>
          <w:rFonts w:asciiTheme="majorHAnsi" w:hAnsiTheme="majorHAnsi"/>
        </w:rPr>
        <w:t xml:space="preserve"> home</w:t>
      </w:r>
      <w:r>
        <w:rPr>
          <w:rFonts w:asciiTheme="majorHAnsi" w:hAnsiTheme="majorHAnsi"/>
        </w:rPr>
        <w:t xml:space="preserve"> jurisdiction’s best interest to recognize compliance instruments from the </w:t>
      </w:r>
      <w:r w:rsidR="0001648F">
        <w:rPr>
          <w:rFonts w:asciiTheme="majorHAnsi" w:hAnsiTheme="majorHAnsi"/>
        </w:rPr>
        <w:t>external</w:t>
      </w:r>
      <w:r>
        <w:rPr>
          <w:rFonts w:asciiTheme="majorHAnsi" w:hAnsiTheme="majorHAnsi"/>
        </w:rPr>
        <w:t xml:space="preserve"> program.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D88"/>
    <w:multiLevelType w:val="hybridMultilevel"/>
    <w:tmpl w:val="DA0E0F3C"/>
    <w:lvl w:ilvl="0" w:tplc="654CA076">
      <w:start w:val="5"/>
      <w:numFmt w:val="lowerRoman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A4641D4"/>
    <w:multiLevelType w:val="hybridMultilevel"/>
    <w:tmpl w:val="6A5A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2179"/>
    <w:multiLevelType w:val="hybridMultilevel"/>
    <w:tmpl w:val="97A40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36304"/>
    <w:multiLevelType w:val="hybridMultilevel"/>
    <w:tmpl w:val="FA8C8172"/>
    <w:lvl w:ilvl="0" w:tplc="C3565E3E">
      <w:start w:val="2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0F085BC2"/>
    <w:multiLevelType w:val="hybridMultilevel"/>
    <w:tmpl w:val="D46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516EB"/>
    <w:multiLevelType w:val="hybridMultilevel"/>
    <w:tmpl w:val="D4F2FFD2"/>
    <w:lvl w:ilvl="0" w:tplc="7812CC1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FF7320F"/>
    <w:multiLevelType w:val="hybridMultilevel"/>
    <w:tmpl w:val="72D0F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9D465B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144A1A"/>
    <w:multiLevelType w:val="hybridMultilevel"/>
    <w:tmpl w:val="FA58BFE0"/>
    <w:lvl w:ilvl="0" w:tplc="04090011">
      <w:start w:val="1"/>
      <w:numFmt w:val="decimal"/>
      <w:lvlText w:val="%1)"/>
      <w:lvlJc w:val="left"/>
      <w:pPr>
        <w:ind w:left="772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1D00482D"/>
    <w:multiLevelType w:val="hybridMultilevel"/>
    <w:tmpl w:val="7A2A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7038BC"/>
    <w:multiLevelType w:val="hybridMultilevel"/>
    <w:tmpl w:val="A880C87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20EB0769"/>
    <w:multiLevelType w:val="hybridMultilevel"/>
    <w:tmpl w:val="07D86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8E58F7"/>
    <w:multiLevelType w:val="hybridMultilevel"/>
    <w:tmpl w:val="F0AC9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C0B54"/>
    <w:multiLevelType w:val="hybridMultilevel"/>
    <w:tmpl w:val="D4F2FFD2"/>
    <w:lvl w:ilvl="0" w:tplc="7812CC1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35320C37"/>
    <w:multiLevelType w:val="hybridMultilevel"/>
    <w:tmpl w:val="88A6B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7D4704"/>
    <w:multiLevelType w:val="hybridMultilevel"/>
    <w:tmpl w:val="4C524CC6"/>
    <w:lvl w:ilvl="0" w:tplc="16784124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141CC"/>
    <w:multiLevelType w:val="hybridMultilevel"/>
    <w:tmpl w:val="DF30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5B6AEA"/>
    <w:multiLevelType w:val="hybridMultilevel"/>
    <w:tmpl w:val="BAC4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815C88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AE86EF8"/>
    <w:multiLevelType w:val="hybridMultilevel"/>
    <w:tmpl w:val="AF689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3162821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B0A680A"/>
    <w:multiLevelType w:val="hybridMultilevel"/>
    <w:tmpl w:val="1DA6C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500987"/>
    <w:multiLevelType w:val="hybridMultilevel"/>
    <w:tmpl w:val="486A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CA4C78"/>
    <w:multiLevelType w:val="hybridMultilevel"/>
    <w:tmpl w:val="9A3C5FA2"/>
    <w:lvl w:ilvl="0" w:tplc="5B38F690">
      <w:start w:val="2"/>
      <w:numFmt w:val="lowerRoman"/>
      <w:lvlText w:val="%1.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5DCB0949"/>
    <w:multiLevelType w:val="hybridMultilevel"/>
    <w:tmpl w:val="354051A4"/>
    <w:lvl w:ilvl="0" w:tplc="654CA076">
      <w:start w:val="1"/>
      <w:numFmt w:val="lowerRoman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61717D0D"/>
    <w:multiLevelType w:val="hybridMultilevel"/>
    <w:tmpl w:val="40CC3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5C61D4"/>
    <w:multiLevelType w:val="hybridMultilevel"/>
    <w:tmpl w:val="B338F5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7C07BC"/>
    <w:multiLevelType w:val="hybridMultilevel"/>
    <w:tmpl w:val="C2748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0269F"/>
    <w:multiLevelType w:val="hybridMultilevel"/>
    <w:tmpl w:val="BF94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0C5DAF"/>
    <w:multiLevelType w:val="hybridMultilevel"/>
    <w:tmpl w:val="87182380"/>
    <w:lvl w:ilvl="0" w:tplc="9386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0EC4C32"/>
    <w:multiLevelType w:val="hybridMultilevel"/>
    <w:tmpl w:val="DA8E3B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8469AD"/>
    <w:multiLevelType w:val="hybridMultilevel"/>
    <w:tmpl w:val="D6F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12FC1"/>
    <w:multiLevelType w:val="hybridMultilevel"/>
    <w:tmpl w:val="DEF4FB78"/>
    <w:lvl w:ilvl="0" w:tplc="04090019">
      <w:start w:val="1"/>
      <w:numFmt w:val="lowerLetter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>
    <w:nsid w:val="7B11057E"/>
    <w:multiLevelType w:val="hybridMultilevel"/>
    <w:tmpl w:val="AC6883E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4">
    <w:nsid w:val="7E5260D7"/>
    <w:multiLevelType w:val="hybridMultilevel"/>
    <w:tmpl w:val="48E85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1360E"/>
    <w:multiLevelType w:val="hybridMultilevel"/>
    <w:tmpl w:val="F58807F6"/>
    <w:lvl w:ilvl="0" w:tplc="6A0CAA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84603"/>
    <w:multiLevelType w:val="hybridMultilevel"/>
    <w:tmpl w:val="48F68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6"/>
  </w:num>
  <w:num w:numId="5">
    <w:abstractNumId w:val="18"/>
  </w:num>
  <w:num w:numId="6">
    <w:abstractNumId w:val="20"/>
  </w:num>
  <w:num w:numId="7">
    <w:abstractNumId w:val="15"/>
  </w:num>
  <w:num w:numId="8">
    <w:abstractNumId w:val="19"/>
  </w:num>
  <w:num w:numId="9">
    <w:abstractNumId w:val="13"/>
  </w:num>
  <w:num w:numId="10">
    <w:abstractNumId w:val="5"/>
  </w:num>
  <w:num w:numId="11">
    <w:abstractNumId w:val="32"/>
  </w:num>
  <w:num w:numId="12">
    <w:abstractNumId w:val="24"/>
  </w:num>
  <w:num w:numId="13">
    <w:abstractNumId w:val="23"/>
  </w:num>
  <w:num w:numId="14">
    <w:abstractNumId w:val="3"/>
  </w:num>
  <w:num w:numId="15">
    <w:abstractNumId w:val="0"/>
  </w:num>
  <w:num w:numId="16">
    <w:abstractNumId w:val="29"/>
  </w:num>
  <w:num w:numId="17">
    <w:abstractNumId w:val="14"/>
  </w:num>
  <w:num w:numId="18">
    <w:abstractNumId w:val="33"/>
  </w:num>
  <w:num w:numId="19">
    <w:abstractNumId w:val="28"/>
  </w:num>
  <w:num w:numId="20">
    <w:abstractNumId w:val="11"/>
  </w:num>
  <w:num w:numId="21">
    <w:abstractNumId w:val="27"/>
  </w:num>
  <w:num w:numId="22">
    <w:abstractNumId w:val="8"/>
  </w:num>
  <w:num w:numId="23">
    <w:abstractNumId w:val="6"/>
  </w:num>
  <w:num w:numId="24">
    <w:abstractNumId w:val="12"/>
  </w:num>
  <w:num w:numId="2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4"/>
  </w:num>
  <w:num w:numId="28">
    <w:abstractNumId w:val="25"/>
  </w:num>
  <w:num w:numId="29">
    <w:abstractNumId w:val="21"/>
  </w:num>
  <w:num w:numId="30">
    <w:abstractNumId w:val="9"/>
  </w:num>
  <w:num w:numId="31">
    <w:abstractNumId w:val="16"/>
  </w:num>
  <w:num w:numId="32">
    <w:abstractNumId w:val="22"/>
  </w:num>
  <w:num w:numId="33">
    <w:abstractNumId w:val="10"/>
  </w:num>
  <w:num w:numId="34">
    <w:abstractNumId w:val="36"/>
  </w:num>
  <w:num w:numId="35">
    <w:abstractNumId w:val="30"/>
  </w:num>
  <w:num w:numId="36">
    <w:abstractNumId w:val="17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FBE"/>
    <w:rsid w:val="00000656"/>
    <w:rsid w:val="00001081"/>
    <w:rsid w:val="0000348D"/>
    <w:rsid w:val="00012174"/>
    <w:rsid w:val="00014D81"/>
    <w:rsid w:val="0001648F"/>
    <w:rsid w:val="00016A83"/>
    <w:rsid w:val="00021876"/>
    <w:rsid w:val="000412B3"/>
    <w:rsid w:val="0005326D"/>
    <w:rsid w:val="00066D3D"/>
    <w:rsid w:val="000700B3"/>
    <w:rsid w:val="00070ACF"/>
    <w:rsid w:val="000716F4"/>
    <w:rsid w:val="00072020"/>
    <w:rsid w:val="00075AD8"/>
    <w:rsid w:val="00075F6F"/>
    <w:rsid w:val="000903CC"/>
    <w:rsid w:val="000919B9"/>
    <w:rsid w:val="00096243"/>
    <w:rsid w:val="000967F7"/>
    <w:rsid w:val="00097EFA"/>
    <w:rsid w:val="000B1DF3"/>
    <w:rsid w:val="000B75D9"/>
    <w:rsid w:val="000B7D11"/>
    <w:rsid w:val="000D7CCA"/>
    <w:rsid w:val="000E1003"/>
    <w:rsid w:val="000E2CE6"/>
    <w:rsid w:val="000E33D1"/>
    <w:rsid w:val="000F659C"/>
    <w:rsid w:val="00100419"/>
    <w:rsid w:val="00100656"/>
    <w:rsid w:val="00143FBE"/>
    <w:rsid w:val="00151717"/>
    <w:rsid w:val="001824F1"/>
    <w:rsid w:val="00194ABB"/>
    <w:rsid w:val="00195678"/>
    <w:rsid w:val="001A1CD3"/>
    <w:rsid w:val="001B44B3"/>
    <w:rsid w:val="001D1AB1"/>
    <w:rsid w:val="001D556A"/>
    <w:rsid w:val="001E0B70"/>
    <w:rsid w:val="001E5ED1"/>
    <w:rsid w:val="001E6DDC"/>
    <w:rsid w:val="001F0396"/>
    <w:rsid w:val="001F10F9"/>
    <w:rsid w:val="001F26DB"/>
    <w:rsid w:val="001F7B31"/>
    <w:rsid w:val="00204204"/>
    <w:rsid w:val="00215990"/>
    <w:rsid w:val="00217A27"/>
    <w:rsid w:val="00223052"/>
    <w:rsid w:val="002335F3"/>
    <w:rsid w:val="002406D8"/>
    <w:rsid w:val="002425B4"/>
    <w:rsid w:val="00270039"/>
    <w:rsid w:val="00277CFC"/>
    <w:rsid w:val="00283BB0"/>
    <w:rsid w:val="00287D79"/>
    <w:rsid w:val="00296293"/>
    <w:rsid w:val="002A4229"/>
    <w:rsid w:val="002B099A"/>
    <w:rsid w:val="002C35AD"/>
    <w:rsid w:val="002C5335"/>
    <w:rsid w:val="002D1C14"/>
    <w:rsid w:val="002D5E08"/>
    <w:rsid w:val="002E1DDB"/>
    <w:rsid w:val="002E5266"/>
    <w:rsid w:val="002F0E4F"/>
    <w:rsid w:val="002F176B"/>
    <w:rsid w:val="00302138"/>
    <w:rsid w:val="00310CF2"/>
    <w:rsid w:val="00323729"/>
    <w:rsid w:val="00324CF5"/>
    <w:rsid w:val="00324DB5"/>
    <w:rsid w:val="00331B70"/>
    <w:rsid w:val="00334754"/>
    <w:rsid w:val="0033497A"/>
    <w:rsid w:val="00335B6D"/>
    <w:rsid w:val="00336450"/>
    <w:rsid w:val="00341C79"/>
    <w:rsid w:val="00375956"/>
    <w:rsid w:val="0038729E"/>
    <w:rsid w:val="003944E0"/>
    <w:rsid w:val="00395AAE"/>
    <w:rsid w:val="003A36C0"/>
    <w:rsid w:val="003C1C1F"/>
    <w:rsid w:val="003D24D3"/>
    <w:rsid w:val="003D3E96"/>
    <w:rsid w:val="003E37EB"/>
    <w:rsid w:val="003F355B"/>
    <w:rsid w:val="003F7A77"/>
    <w:rsid w:val="00410FAD"/>
    <w:rsid w:val="00413D15"/>
    <w:rsid w:val="00421994"/>
    <w:rsid w:val="0043154E"/>
    <w:rsid w:val="0043175A"/>
    <w:rsid w:val="004328A3"/>
    <w:rsid w:val="00435BDC"/>
    <w:rsid w:val="004369A2"/>
    <w:rsid w:val="004372CE"/>
    <w:rsid w:val="00437A6E"/>
    <w:rsid w:val="004466F4"/>
    <w:rsid w:val="004549D5"/>
    <w:rsid w:val="00457FB2"/>
    <w:rsid w:val="004620CB"/>
    <w:rsid w:val="00462B10"/>
    <w:rsid w:val="00463775"/>
    <w:rsid w:val="00465220"/>
    <w:rsid w:val="004677CA"/>
    <w:rsid w:val="00472A1F"/>
    <w:rsid w:val="004779F1"/>
    <w:rsid w:val="00481D82"/>
    <w:rsid w:val="004837F2"/>
    <w:rsid w:val="004841FA"/>
    <w:rsid w:val="00487327"/>
    <w:rsid w:val="00493033"/>
    <w:rsid w:val="004967A4"/>
    <w:rsid w:val="004A1827"/>
    <w:rsid w:val="004A27EB"/>
    <w:rsid w:val="004A4956"/>
    <w:rsid w:val="004A7746"/>
    <w:rsid w:val="004B1C7F"/>
    <w:rsid w:val="004B1D14"/>
    <w:rsid w:val="004C4399"/>
    <w:rsid w:val="004C68B1"/>
    <w:rsid w:val="004C6DD5"/>
    <w:rsid w:val="004D5B7F"/>
    <w:rsid w:val="004D7B54"/>
    <w:rsid w:val="004F5A40"/>
    <w:rsid w:val="00503B8E"/>
    <w:rsid w:val="005250B2"/>
    <w:rsid w:val="00526038"/>
    <w:rsid w:val="005263CD"/>
    <w:rsid w:val="00552FDC"/>
    <w:rsid w:val="005568A2"/>
    <w:rsid w:val="005630AA"/>
    <w:rsid w:val="0056443E"/>
    <w:rsid w:val="00577847"/>
    <w:rsid w:val="00583C13"/>
    <w:rsid w:val="005845B0"/>
    <w:rsid w:val="005906CD"/>
    <w:rsid w:val="0059089F"/>
    <w:rsid w:val="00590DFF"/>
    <w:rsid w:val="005949E7"/>
    <w:rsid w:val="005A0F0D"/>
    <w:rsid w:val="005B2ED3"/>
    <w:rsid w:val="005C3967"/>
    <w:rsid w:val="005C3C42"/>
    <w:rsid w:val="005C538B"/>
    <w:rsid w:val="005C5706"/>
    <w:rsid w:val="005D097C"/>
    <w:rsid w:val="005F15F1"/>
    <w:rsid w:val="006015CE"/>
    <w:rsid w:val="00606CE7"/>
    <w:rsid w:val="006248DB"/>
    <w:rsid w:val="00636885"/>
    <w:rsid w:val="006455D0"/>
    <w:rsid w:val="00662EB4"/>
    <w:rsid w:val="006630F3"/>
    <w:rsid w:val="00664611"/>
    <w:rsid w:val="006658BC"/>
    <w:rsid w:val="006768B6"/>
    <w:rsid w:val="006A384E"/>
    <w:rsid w:val="006A711D"/>
    <w:rsid w:val="006B0885"/>
    <w:rsid w:val="006B1D9F"/>
    <w:rsid w:val="006C627F"/>
    <w:rsid w:val="006D2A7F"/>
    <w:rsid w:val="006D2C21"/>
    <w:rsid w:val="006D6D24"/>
    <w:rsid w:val="006F6A7E"/>
    <w:rsid w:val="0071020B"/>
    <w:rsid w:val="007115A5"/>
    <w:rsid w:val="007138FA"/>
    <w:rsid w:val="007242FA"/>
    <w:rsid w:val="007316A8"/>
    <w:rsid w:val="00736059"/>
    <w:rsid w:val="007411D7"/>
    <w:rsid w:val="007444E9"/>
    <w:rsid w:val="00744FEE"/>
    <w:rsid w:val="00753619"/>
    <w:rsid w:val="00764C87"/>
    <w:rsid w:val="00765705"/>
    <w:rsid w:val="00771607"/>
    <w:rsid w:val="007725D5"/>
    <w:rsid w:val="0077695E"/>
    <w:rsid w:val="00780929"/>
    <w:rsid w:val="00787E72"/>
    <w:rsid w:val="007937E3"/>
    <w:rsid w:val="007A0293"/>
    <w:rsid w:val="007B1FE1"/>
    <w:rsid w:val="007B69EA"/>
    <w:rsid w:val="007C1124"/>
    <w:rsid w:val="007C3A93"/>
    <w:rsid w:val="007C50C3"/>
    <w:rsid w:val="007C694A"/>
    <w:rsid w:val="007D476E"/>
    <w:rsid w:val="007E0696"/>
    <w:rsid w:val="007E0FFA"/>
    <w:rsid w:val="007E244A"/>
    <w:rsid w:val="007E77B8"/>
    <w:rsid w:val="007F3BC1"/>
    <w:rsid w:val="007F4E24"/>
    <w:rsid w:val="00804D2A"/>
    <w:rsid w:val="0081162B"/>
    <w:rsid w:val="00811FC0"/>
    <w:rsid w:val="008232BA"/>
    <w:rsid w:val="008313E7"/>
    <w:rsid w:val="0083512A"/>
    <w:rsid w:val="0083603E"/>
    <w:rsid w:val="008403B5"/>
    <w:rsid w:val="008439B9"/>
    <w:rsid w:val="008446A3"/>
    <w:rsid w:val="00845165"/>
    <w:rsid w:val="00861DEB"/>
    <w:rsid w:val="00865A81"/>
    <w:rsid w:val="00881D08"/>
    <w:rsid w:val="00884DF0"/>
    <w:rsid w:val="008909AB"/>
    <w:rsid w:val="00897A81"/>
    <w:rsid w:val="00897D44"/>
    <w:rsid w:val="008A5194"/>
    <w:rsid w:val="008A772F"/>
    <w:rsid w:val="008B5A41"/>
    <w:rsid w:val="008C2F9D"/>
    <w:rsid w:val="008C6CF5"/>
    <w:rsid w:val="008C7A30"/>
    <w:rsid w:val="008E4599"/>
    <w:rsid w:val="008E579E"/>
    <w:rsid w:val="008F22B0"/>
    <w:rsid w:val="008F632B"/>
    <w:rsid w:val="009005B4"/>
    <w:rsid w:val="00900ABE"/>
    <w:rsid w:val="009031D6"/>
    <w:rsid w:val="00904347"/>
    <w:rsid w:val="00905DA7"/>
    <w:rsid w:val="00912C2B"/>
    <w:rsid w:val="00915580"/>
    <w:rsid w:val="009263A5"/>
    <w:rsid w:val="009263A6"/>
    <w:rsid w:val="009440C8"/>
    <w:rsid w:val="0094786B"/>
    <w:rsid w:val="0096563E"/>
    <w:rsid w:val="00973D9D"/>
    <w:rsid w:val="009812DB"/>
    <w:rsid w:val="00995CD6"/>
    <w:rsid w:val="009977C6"/>
    <w:rsid w:val="009B23CC"/>
    <w:rsid w:val="009C2B74"/>
    <w:rsid w:val="009D10D0"/>
    <w:rsid w:val="009E5AFD"/>
    <w:rsid w:val="009E7352"/>
    <w:rsid w:val="009F3BA1"/>
    <w:rsid w:val="00A00DBF"/>
    <w:rsid w:val="00A15749"/>
    <w:rsid w:val="00A23A0F"/>
    <w:rsid w:val="00A27131"/>
    <w:rsid w:val="00A304F1"/>
    <w:rsid w:val="00A32A06"/>
    <w:rsid w:val="00A36898"/>
    <w:rsid w:val="00A41AC8"/>
    <w:rsid w:val="00A51A6E"/>
    <w:rsid w:val="00A643D1"/>
    <w:rsid w:val="00A71677"/>
    <w:rsid w:val="00A73305"/>
    <w:rsid w:val="00A838E6"/>
    <w:rsid w:val="00A907CE"/>
    <w:rsid w:val="00A90A92"/>
    <w:rsid w:val="00A9482B"/>
    <w:rsid w:val="00AA1328"/>
    <w:rsid w:val="00AA23DD"/>
    <w:rsid w:val="00AA76C5"/>
    <w:rsid w:val="00AB1300"/>
    <w:rsid w:val="00AC1CB4"/>
    <w:rsid w:val="00AC4700"/>
    <w:rsid w:val="00AD1E3C"/>
    <w:rsid w:val="00AD2879"/>
    <w:rsid w:val="00AD3C41"/>
    <w:rsid w:val="00AD6124"/>
    <w:rsid w:val="00AF1534"/>
    <w:rsid w:val="00AF4383"/>
    <w:rsid w:val="00AF453B"/>
    <w:rsid w:val="00B03DCD"/>
    <w:rsid w:val="00B3262F"/>
    <w:rsid w:val="00B32C23"/>
    <w:rsid w:val="00B35F3C"/>
    <w:rsid w:val="00B45BCC"/>
    <w:rsid w:val="00B5149C"/>
    <w:rsid w:val="00B6378A"/>
    <w:rsid w:val="00B6453E"/>
    <w:rsid w:val="00B7235B"/>
    <w:rsid w:val="00B723E0"/>
    <w:rsid w:val="00B771DD"/>
    <w:rsid w:val="00B81427"/>
    <w:rsid w:val="00B84A33"/>
    <w:rsid w:val="00B904CF"/>
    <w:rsid w:val="00B92091"/>
    <w:rsid w:val="00B9743B"/>
    <w:rsid w:val="00BA6B86"/>
    <w:rsid w:val="00BC1136"/>
    <w:rsid w:val="00BC21AF"/>
    <w:rsid w:val="00BD3A15"/>
    <w:rsid w:val="00BD594D"/>
    <w:rsid w:val="00BE3B9A"/>
    <w:rsid w:val="00BF38BE"/>
    <w:rsid w:val="00C05FAA"/>
    <w:rsid w:val="00C06B86"/>
    <w:rsid w:val="00C1702F"/>
    <w:rsid w:val="00C32924"/>
    <w:rsid w:val="00C40F1E"/>
    <w:rsid w:val="00C43FCA"/>
    <w:rsid w:val="00C45750"/>
    <w:rsid w:val="00C515B7"/>
    <w:rsid w:val="00C622E7"/>
    <w:rsid w:val="00C675B5"/>
    <w:rsid w:val="00C71345"/>
    <w:rsid w:val="00C75B66"/>
    <w:rsid w:val="00C859DE"/>
    <w:rsid w:val="00C86059"/>
    <w:rsid w:val="00C87AD7"/>
    <w:rsid w:val="00C90C95"/>
    <w:rsid w:val="00C97F74"/>
    <w:rsid w:val="00CA1599"/>
    <w:rsid w:val="00CA69F4"/>
    <w:rsid w:val="00CD1FCF"/>
    <w:rsid w:val="00CD41AD"/>
    <w:rsid w:val="00CD4374"/>
    <w:rsid w:val="00CD6338"/>
    <w:rsid w:val="00CD64FE"/>
    <w:rsid w:val="00CE39F2"/>
    <w:rsid w:val="00CE4342"/>
    <w:rsid w:val="00CF495A"/>
    <w:rsid w:val="00CF4E28"/>
    <w:rsid w:val="00CF6A45"/>
    <w:rsid w:val="00D031D0"/>
    <w:rsid w:val="00D05E64"/>
    <w:rsid w:val="00D05EBE"/>
    <w:rsid w:val="00D06F65"/>
    <w:rsid w:val="00D31508"/>
    <w:rsid w:val="00D33229"/>
    <w:rsid w:val="00D358B4"/>
    <w:rsid w:val="00D4540C"/>
    <w:rsid w:val="00D47C02"/>
    <w:rsid w:val="00D47FD1"/>
    <w:rsid w:val="00D6177B"/>
    <w:rsid w:val="00D713F7"/>
    <w:rsid w:val="00D87284"/>
    <w:rsid w:val="00D92A9B"/>
    <w:rsid w:val="00D94DCD"/>
    <w:rsid w:val="00D97D87"/>
    <w:rsid w:val="00DA1439"/>
    <w:rsid w:val="00DB4738"/>
    <w:rsid w:val="00DB4975"/>
    <w:rsid w:val="00DB7FAE"/>
    <w:rsid w:val="00DC1EE3"/>
    <w:rsid w:val="00DC20DE"/>
    <w:rsid w:val="00DC54CB"/>
    <w:rsid w:val="00DC58CA"/>
    <w:rsid w:val="00DD1125"/>
    <w:rsid w:val="00DD294E"/>
    <w:rsid w:val="00DD30A9"/>
    <w:rsid w:val="00DD52F8"/>
    <w:rsid w:val="00DF4B09"/>
    <w:rsid w:val="00E027F2"/>
    <w:rsid w:val="00E03D6D"/>
    <w:rsid w:val="00E04E3A"/>
    <w:rsid w:val="00E06782"/>
    <w:rsid w:val="00E1098F"/>
    <w:rsid w:val="00E12E2C"/>
    <w:rsid w:val="00E14FAA"/>
    <w:rsid w:val="00E21F14"/>
    <w:rsid w:val="00E23625"/>
    <w:rsid w:val="00E3367E"/>
    <w:rsid w:val="00E33978"/>
    <w:rsid w:val="00E410C5"/>
    <w:rsid w:val="00E4245C"/>
    <w:rsid w:val="00E42673"/>
    <w:rsid w:val="00E525C3"/>
    <w:rsid w:val="00E52667"/>
    <w:rsid w:val="00E61BF4"/>
    <w:rsid w:val="00E630ED"/>
    <w:rsid w:val="00E6541D"/>
    <w:rsid w:val="00E67A85"/>
    <w:rsid w:val="00E8724E"/>
    <w:rsid w:val="00E909F1"/>
    <w:rsid w:val="00EA23C5"/>
    <w:rsid w:val="00EA7853"/>
    <w:rsid w:val="00EB1280"/>
    <w:rsid w:val="00EB4DFB"/>
    <w:rsid w:val="00EB6552"/>
    <w:rsid w:val="00EC0C0D"/>
    <w:rsid w:val="00ED6520"/>
    <w:rsid w:val="00EE7D82"/>
    <w:rsid w:val="00EF0809"/>
    <w:rsid w:val="00F13095"/>
    <w:rsid w:val="00F1382B"/>
    <w:rsid w:val="00F155B9"/>
    <w:rsid w:val="00F43D54"/>
    <w:rsid w:val="00F47CF2"/>
    <w:rsid w:val="00F51766"/>
    <w:rsid w:val="00F666A2"/>
    <w:rsid w:val="00F71618"/>
    <w:rsid w:val="00F73D8C"/>
    <w:rsid w:val="00F80E80"/>
    <w:rsid w:val="00F839C9"/>
    <w:rsid w:val="00F867F8"/>
    <w:rsid w:val="00F94EAF"/>
    <w:rsid w:val="00F96912"/>
    <w:rsid w:val="00FC5882"/>
    <w:rsid w:val="00FD44FA"/>
    <w:rsid w:val="00FE6A97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A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D05E6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05E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D05EBE"/>
    <w:rPr>
      <w:rFonts w:ascii="Cambria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05EB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0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EB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05EBE"/>
    <w:rPr>
      <w:rFonts w:cs="Times New Roman"/>
    </w:rPr>
  </w:style>
  <w:style w:type="paragraph" w:styleId="ListParagraph">
    <w:name w:val="List Paragraph"/>
    <w:basedOn w:val="Normal"/>
    <w:uiPriority w:val="34"/>
    <w:qFormat/>
    <w:rsid w:val="00D05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5E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EBE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05EB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05E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E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5E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5EB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94EA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C2F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2F9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2F9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8E459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8729E"/>
    <w:rPr>
      <w:rFonts w:cs="Times New Roman"/>
      <w:color w:val="800080"/>
      <w:u w:val="single"/>
    </w:rPr>
  </w:style>
  <w:style w:type="paragraph" w:customStyle="1" w:styleId="Default">
    <w:name w:val="Default"/>
    <w:rsid w:val="00A41A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DFLetterText">
    <w:name w:val="EDF_LetterText"/>
    <w:basedOn w:val="Normal"/>
    <w:qFormat/>
    <w:rsid w:val="001824F1"/>
    <w:pPr>
      <w:spacing w:line="276" w:lineRule="auto"/>
    </w:pPr>
    <w:rPr>
      <w:rFonts w:ascii="Georgia" w:eastAsia="Cambria" w:hAnsi="Georgia"/>
      <w:sz w:val="22"/>
    </w:rPr>
  </w:style>
  <w:style w:type="table" w:styleId="TableGrid">
    <w:name w:val="Table Grid"/>
    <w:basedOn w:val="TableNormal"/>
    <w:locked/>
    <w:rsid w:val="00D0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5E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Normal1">
    <w:name w:val="Normal1"/>
    <w:basedOn w:val="DefaultParagraphFont"/>
    <w:rsid w:val="00D05E64"/>
  </w:style>
  <w:style w:type="character" w:customStyle="1" w:styleId="apple-converted-space">
    <w:name w:val="apple-converted-space"/>
    <w:basedOn w:val="DefaultParagraphFont"/>
    <w:rsid w:val="00D05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A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D05E6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05E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D05EBE"/>
    <w:rPr>
      <w:rFonts w:ascii="Cambria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05EB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0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EB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05EBE"/>
    <w:rPr>
      <w:rFonts w:cs="Times New Roman"/>
    </w:rPr>
  </w:style>
  <w:style w:type="paragraph" w:styleId="ListParagraph">
    <w:name w:val="List Paragraph"/>
    <w:basedOn w:val="Normal"/>
    <w:uiPriority w:val="34"/>
    <w:qFormat/>
    <w:rsid w:val="00D05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5E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EBE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05EB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05E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E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5E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5EB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94EA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C2F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2F9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2F9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8E459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8729E"/>
    <w:rPr>
      <w:rFonts w:cs="Times New Roman"/>
      <w:color w:val="800080"/>
      <w:u w:val="single"/>
    </w:rPr>
  </w:style>
  <w:style w:type="paragraph" w:customStyle="1" w:styleId="Default">
    <w:name w:val="Default"/>
    <w:rsid w:val="00A41A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DFLetterText">
    <w:name w:val="EDF_LetterText"/>
    <w:basedOn w:val="Normal"/>
    <w:qFormat/>
    <w:rsid w:val="001824F1"/>
    <w:pPr>
      <w:spacing w:line="276" w:lineRule="auto"/>
    </w:pPr>
    <w:rPr>
      <w:rFonts w:ascii="Georgia" w:eastAsia="Cambria" w:hAnsi="Georgia"/>
      <w:sz w:val="22"/>
    </w:rPr>
  </w:style>
  <w:style w:type="table" w:styleId="TableGrid">
    <w:name w:val="Table Grid"/>
    <w:basedOn w:val="TableNormal"/>
    <w:locked/>
    <w:rsid w:val="00D0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5E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Normal1">
    <w:name w:val="Normal1"/>
    <w:basedOn w:val="DefaultParagraphFont"/>
    <w:rsid w:val="00D05E64"/>
  </w:style>
  <w:style w:type="character" w:customStyle="1" w:styleId="apple-converted-space">
    <w:name w:val="apple-converted-space"/>
    <w:basedOn w:val="DefaultParagraphFont"/>
    <w:rsid w:val="00D05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tif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orehouse@ed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9F21-42C7-49F0-8E21-09B079D4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Forest Trust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Best</dc:creator>
  <cp:lastModifiedBy>Erica Morehouse</cp:lastModifiedBy>
  <cp:revision>2</cp:revision>
  <dcterms:created xsi:type="dcterms:W3CDTF">2012-02-17T18:18:00Z</dcterms:created>
  <dcterms:modified xsi:type="dcterms:W3CDTF">2012-02-17T18:18:00Z</dcterms:modified>
</cp:coreProperties>
</file>