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06" w:rsidRDefault="007F3D06" w:rsidP="001A7448">
      <w:pPr>
        <w:pStyle w:val="ListParagraph"/>
      </w:pPr>
    </w:p>
    <w:p w:rsidR="00A06C19" w:rsidRDefault="00475ACE" w:rsidP="00902166">
      <w:pPr>
        <w:pStyle w:val="ListParagraph"/>
        <w:ind w:left="0"/>
      </w:pPr>
      <w:r>
        <w:t xml:space="preserve">In the </w:t>
      </w:r>
      <w:r w:rsidR="007B1C60">
        <w:t>Mandatory Report</w:t>
      </w:r>
      <w:r w:rsidR="003762A9">
        <w:t>ing</w:t>
      </w:r>
      <w:r w:rsidR="007B1C60">
        <w:t xml:space="preserve"> in Rule Section</w:t>
      </w:r>
      <w:r w:rsidR="00A13BB7">
        <w:t xml:space="preserve"> 95111</w:t>
      </w:r>
      <w:r w:rsidR="0004632D">
        <w:t xml:space="preserve"> (g)(4)(A) regarding specification of</w:t>
      </w:r>
      <w:r w:rsidR="007B1C60">
        <w:t xml:space="preserve"> import sources, </w:t>
      </w:r>
      <w:r w:rsidR="00D87A2C">
        <w:t xml:space="preserve">CARB’s </w:t>
      </w:r>
      <w:r>
        <w:t xml:space="preserve">identifies </w:t>
      </w:r>
      <w:r w:rsidR="004641CB">
        <w:t xml:space="preserve">parameters that would </w:t>
      </w:r>
      <w:r w:rsidR="00636435">
        <w:t xml:space="preserve">define </w:t>
      </w:r>
      <w:r w:rsidR="00DE07AC">
        <w:t>a historical commitment of an out-of-state resource to serve California loads and resolve resource</w:t>
      </w:r>
      <w:r w:rsidR="00D87A2C">
        <w:t xml:space="preserve"> </w:t>
      </w:r>
      <w:r w:rsidR="00FC2679">
        <w:t xml:space="preserve">shuffling </w:t>
      </w:r>
      <w:r w:rsidR="004641CB">
        <w:t xml:space="preserve">concerns based on </w:t>
      </w:r>
      <w:r w:rsidR="0004632D">
        <w:t>historical sales</w:t>
      </w:r>
      <w:r w:rsidR="004641CB">
        <w:t xml:space="preserve">. </w:t>
      </w:r>
      <w:r w:rsidR="003601BF">
        <w:t xml:space="preserve">  </w:t>
      </w:r>
      <w:r w:rsidR="00147131">
        <w:t>The definition should be revised as shown below, to provide additional flexibility in</w:t>
      </w:r>
      <w:r w:rsidR="0004632D">
        <w:t xml:space="preserve"> </w:t>
      </w:r>
      <w:r w:rsidR="00147131">
        <w:t>cases</w:t>
      </w:r>
      <w:r w:rsidR="0004632D">
        <w:t xml:space="preserve"> where historical sales from a given</w:t>
      </w:r>
      <w:r w:rsidR="00147131">
        <w:t xml:space="preserve"> facility were both under a power contract with a California load-serving entity</w:t>
      </w:r>
      <w:r w:rsidR="005F3F00">
        <w:t xml:space="preserve"> and via spot sales into the California Independent System Operator (CAISO) markets.  In cases w</w:t>
      </w:r>
      <w:r w:rsidR="0004632D">
        <w:t>here the facility</w:t>
      </w:r>
      <w:r w:rsidR="005F3F00">
        <w:t xml:space="preserve"> contract in effect prior to January 1, 2010 has expired, the Rule </w:t>
      </w:r>
      <w:r w:rsidR="001E4B8F">
        <w:t xml:space="preserve">should recognize </w:t>
      </w:r>
      <w:r w:rsidR="005F3F00">
        <w:t>contracting with alternate California loads</w:t>
      </w:r>
      <w:r w:rsidR="0004632D">
        <w:t xml:space="preserve"> without time limitation</w:t>
      </w:r>
      <w:r w:rsidR="005F3F00">
        <w:t>, or simply making spot sales into the CAISO marke</w:t>
      </w:r>
      <w:r w:rsidR="0004632D">
        <w:t xml:space="preserve">ts </w:t>
      </w:r>
      <w:r w:rsidR="001E4B8F">
        <w:t xml:space="preserve"> as </w:t>
      </w:r>
      <w:r w:rsidR="0004632D">
        <w:t xml:space="preserve"> continu</w:t>
      </w:r>
      <w:r w:rsidR="006F5A49">
        <w:t>ing</w:t>
      </w:r>
      <w:r w:rsidR="0004632D">
        <w:t xml:space="preserve"> to qualify as a S</w:t>
      </w:r>
      <w:r w:rsidR="005F3F00">
        <w:t xml:space="preserve">pecified </w:t>
      </w:r>
      <w:r w:rsidR="0004632D">
        <w:t>S</w:t>
      </w:r>
      <w:r w:rsidR="005F3F00">
        <w:t xml:space="preserve">ource.   Further, given that spot sales </w:t>
      </w:r>
      <w:r w:rsidR="000B2894">
        <w:t xml:space="preserve">to California </w:t>
      </w:r>
      <w:r w:rsidR="005F3F00">
        <w:t>are not “renegotiated”</w:t>
      </w:r>
      <w:r w:rsidR="0004632D">
        <w:t xml:space="preserve"> in the traditional sense</w:t>
      </w:r>
      <w:r w:rsidR="005F3F00">
        <w:t xml:space="preserve">, </w:t>
      </w:r>
      <w:r w:rsidR="0004632D">
        <w:t>the Rule should be re</w:t>
      </w:r>
      <w:r w:rsidR="003762A9">
        <w:t>vised to delete this provision</w:t>
      </w:r>
      <w:r w:rsidR="0004632D">
        <w:t xml:space="preserve">.  </w:t>
      </w:r>
      <w:r w:rsidR="005F3F00">
        <w:t xml:space="preserve">The </w:t>
      </w:r>
      <w:r w:rsidR="0004632D">
        <w:t xml:space="preserve">appropriate </w:t>
      </w:r>
      <w:r w:rsidR="005F3F00">
        <w:t xml:space="preserve">changes </w:t>
      </w:r>
      <w:r w:rsidR="0004632D">
        <w:t xml:space="preserve">are </w:t>
      </w:r>
      <w:r w:rsidR="005F3F00">
        <w:t>shown below</w:t>
      </w:r>
      <w:r w:rsidR="0004632D">
        <w:t>.</w:t>
      </w:r>
      <w:r w:rsidR="00D87A2C">
        <w:t xml:space="preserve"> </w:t>
      </w:r>
    </w:p>
    <w:p w:rsidR="00A06C19" w:rsidRDefault="00A06C19" w:rsidP="00902166"/>
    <w:p w:rsidR="00D87A2C" w:rsidRDefault="000B2894" w:rsidP="00902166">
      <w:pPr>
        <w:ind w:left="720"/>
      </w:pPr>
      <w:r>
        <w:rPr>
          <w:sz w:val="23"/>
          <w:szCs w:val="23"/>
        </w:rPr>
        <w:t xml:space="preserve"> (A)  Deliveries from specified sources previously reported as consumed in California.  S</w:t>
      </w:r>
      <w:r w:rsidR="00A06C19">
        <w:rPr>
          <w:sz w:val="23"/>
          <w:szCs w:val="23"/>
        </w:rPr>
        <w:t xml:space="preserve">pecified source of electricity has been reported in a 2009 verified data report and is claimed for the current data year by </w:t>
      </w:r>
      <w:r w:rsidR="00A06C19" w:rsidRPr="00147131">
        <w:rPr>
          <w:strike/>
          <w:sz w:val="23"/>
          <w:szCs w:val="23"/>
        </w:rPr>
        <w:t>the same</w:t>
      </w:r>
      <w:r w:rsidR="00147131">
        <w:rPr>
          <w:sz w:val="23"/>
          <w:szCs w:val="23"/>
        </w:rPr>
        <w:t xml:space="preserve"> </w:t>
      </w:r>
      <w:r w:rsidR="00147131">
        <w:rPr>
          <w:sz w:val="23"/>
          <w:szCs w:val="23"/>
          <w:u w:val="single"/>
        </w:rPr>
        <w:t>an</w:t>
      </w:r>
      <w:r w:rsidR="00A06C19">
        <w:rPr>
          <w:sz w:val="23"/>
          <w:szCs w:val="23"/>
        </w:rPr>
        <w:t xml:space="preserve"> electricity importer, based on a written power contract or status as a GPE in effect prior to January 1, 2010 </w:t>
      </w:r>
      <w:r w:rsidR="00A06C19" w:rsidRPr="00147131">
        <w:rPr>
          <w:strike/>
          <w:sz w:val="23"/>
          <w:szCs w:val="23"/>
        </w:rPr>
        <w:t xml:space="preserve">that remains in effect, or that has been renegotiated </w:t>
      </w:r>
      <w:r w:rsidR="00A06C19">
        <w:rPr>
          <w:sz w:val="23"/>
          <w:szCs w:val="23"/>
        </w:rPr>
        <w:t xml:space="preserve">for the same facility or generating unit for up to the same share or quantity of net generation </w:t>
      </w:r>
      <w:r w:rsidR="00A06C19" w:rsidRPr="00147131">
        <w:rPr>
          <w:strike/>
          <w:sz w:val="23"/>
          <w:szCs w:val="23"/>
        </w:rPr>
        <w:t>within 12 months following prior expiration</w:t>
      </w:r>
      <w:r>
        <w:rPr>
          <w:sz w:val="23"/>
          <w:szCs w:val="23"/>
        </w:rPr>
        <w:t>; or a specified facility for which imported electricity was reported as greater</w:t>
      </w:r>
      <w:r w:rsidR="00A06C19">
        <w:rPr>
          <w:sz w:val="23"/>
          <w:szCs w:val="23"/>
        </w:rPr>
        <w:t xml:space="preserve"> than 80 per</w:t>
      </w:r>
      <w:r>
        <w:rPr>
          <w:sz w:val="23"/>
          <w:szCs w:val="23"/>
        </w:rPr>
        <w:t>cent of net generation in the 2009 or 2010 data years</w:t>
      </w:r>
      <w:r w:rsidR="00A06C19">
        <w:rPr>
          <w:sz w:val="23"/>
          <w:szCs w:val="23"/>
        </w:rPr>
        <w:t>.”</w:t>
      </w:r>
      <w:r w:rsidR="00D87A2C">
        <w:t xml:space="preserve">  </w:t>
      </w:r>
    </w:p>
    <w:p w:rsidR="00D87A2C" w:rsidRDefault="00D87A2C" w:rsidP="00902166">
      <w:pPr>
        <w:pStyle w:val="ListParagraph"/>
        <w:ind w:left="0"/>
      </w:pPr>
    </w:p>
    <w:p w:rsidR="003601BF" w:rsidRDefault="003601BF" w:rsidP="00902166">
      <w:pPr>
        <w:pStyle w:val="ListParagraph"/>
        <w:ind w:left="0"/>
      </w:pPr>
      <w:r>
        <w:t>In addition, on page 63 of the MRR under the definition of “Specified source of electricity”</w:t>
      </w:r>
      <w:r w:rsidR="001E4B8F">
        <w:t xml:space="preserve"> (paragraph (364)</w:t>
      </w:r>
      <w:r>
        <w:t>,  the word “power” was omitted in front of the word “contract”.  This is inconsistent with the definition of “Specified source of electricity” contained in the cap and trade rule on page A-47.</w:t>
      </w:r>
      <w:r w:rsidR="001E4B8F">
        <w:t xml:space="preserve">  Also, the term “power contract” or “written power contract” are defined terms under MRR definition (301), while written contract is not defined.  </w:t>
      </w:r>
    </w:p>
    <w:p w:rsidR="003601BF" w:rsidRDefault="003601BF" w:rsidP="00902166">
      <w:pPr>
        <w:pStyle w:val="ListParagraph"/>
        <w:ind w:left="0"/>
      </w:pPr>
    </w:p>
    <w:p w:rsidR="00675AF8" w:rsidRPr="007646DE" w:rsidRDefault="00675AF8" w:rsidP="007646DE">
      <w:pPr>
        <w:rPr>
          <w:color w:val="4F81BD" w:themeColor="accent1"/>
        </w:rPr>
      </w:pPr>
    </w:p>
    <w:sectPr w:rsidR="00675AF8" w:rsidRPr="007646DE" w:rsidSect="00A34A4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41B" w:rsidRDefault="000F441B" w:rsidP="00ED1A98">
      <w:r>
        <w:separator/>
      </w:r>
    </w:p>
  </w:endnote>
  <w:endnote w:type="continuationSeparator" w:id="0">
    <w:p w:rsidR="000F441B" w:rsidRDefault="000F441B" w:rsidP="00ED1A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41B" w:rsidRDefault="000F441B" w:rsidP="00ED1A98">
      <w:r>
        <w:separator/>
      </w:r>
    </w:p>
  </w:footnote>
  <w:footnote w:type="continuationSeparator" w:id="0">
    <w:p w:rsidR="000F441B" w:rsidRDefault="000F441B" w:rsidP="00ED1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98" w:rsidRDefault="00ED1A98" w:rsidP="00ED1A98">
    <w:pPr>
      <w:pStyle w:val="Default"/>
    </w:pPr>
  </w:p>
  <w:p w:rsidR="00ED1A98" w:rsidRPr="003572F9" w:rsidRDefault="00ED1A98" w:rsidP="00ED1A98">
    <w:pPr>
      <w:pStyle w:val="Default"/>
      <w:rPr>
        <w:rFonts w:ascii="Arial" w:hAnsi="Arial" w:cs="Arial"/>
        <w:sz w:val="28"/>
        <w:szCs w:val="28"/>
      </w:rPr>
    </w:pPr>
    <w:r w:rsidRPr="003572F9">
      <w:rPr>
        <w:rFonts w:ascii="Arial" w:hAnsi="Arial" w:cs="Arial"/>
        <w:b/>
        <w:bCs/>
        <w:sz w:val="28"/>
        <w:szCs w:val="28"/>
      </w:rPr>
      <w:t>Comments of Sempra Generation</w:t>
    </w:r>
  </w:p>
  <w:p w:rsidR="00ED1A98" w:rsidRPr="003572F9" w:rsidRDefault="00ED1A98" w:rsidP="00ED1A98">
    <w:pPr>
      <w:pStyle w:val="Default"/>
      <w:rPr>
        <w:rFonts w:ascii="Arial" w:hAnsi="Arial" w:cs="Arial"/>
        <w:sz w:val="28"/>
        <w:szCs w:val="28"/>
      </w:rPr>
    </w:pPr>
    <w:r w:rsidRPr="003572F9">
      <w:rPr>
        <w:rFonts w:ascii="Arial" w:hAnsi="Arial" w:cs="Arial"/>
        <w:b/>
        <w:bCs/>
        <w:sz w:val="28"/>
        <w:szCs w:val="28"/>
      </w:rPr>
      <w:t xml:space="preserve">On the California Air Resources Board’s </w:t>
    </w:r>
  </w:p>
  <w:p w:rsidR="00ED1A98" w:rsidRPr="003572F9" w:rsidRDefault="00ED1A98" w:rsidP="00ED1A98">
    <w:pPr>
      <w:pStyle w:val="Default"/>
      <w:rPr>
        <w:rFonts w:ascii="Arial" w:hAnsi="Arial" w:cs="Arial"/>
        <w:sz w:val="28"/>
        <w:szCs w:val="28"/>
      </w:rPr>
    </w:pPr>
    <w:r w:rsidRPr="003572F9">
      <w:rPr>
        <w:rFonts w:ascii="Arial" w:hAnsi="Arial" w:cs="Arial"/>
        <w:b/>
        <w:bCs/>
        <w:sz w:val="28"/>
        <w:szCs w:val="28"/>
      </w:rPr>
      <w:t xml:space="preserve">Proposed Amendments to the Regulation for the </w:t>
    </w:r>
  </w:p>
  <w:p w:rsidR="00ED1A98" w:rsidRPr="003572F9" w:rsidRDefault="00ED1A98" w:rsidP="00ED1A98">
    <w:pPr>
      <w:pStyle w:val="Header"/>
      <w:rPr>
        <w:rFonts w:ascii="Arial" w:hAnsi="Arial" w:cs="Arial"/>
        <w:b/>
        <w:bCs/>
        <w:sz w:val="28"/>
        <w:szCs w:val="28"/>
      </w:rPr>
    </w:pPr>
    <w:r w:rsidRPr="003572F9">
      <w:rPr>
        <w:rFonts w:ascii="Arial" w:hAnsi="Arial" w:cs="Arial"/>
        <w:b/>
        <w:bCs/>
        <w:sz w:val="28"/>
        <w:szCs w:val="28"/>
      </w:rPr>
      <w:t>Mandatory Reporting of Greenhouse Gas Emissions</w:t>
    </w:r>
  </w:p>
  <w:p w:rsidR="00ED1A98" w:rsidRPr="003572F9" w:rsidRDefault="0039117A" w:rsidP="00ED1A98">
    <w:pPr>
      <w:pStyle w:val="Header"/>
      <w:rPr>
        <w:rFonts w:ascii="Arial" w:hAnsi="Arial" w:cs="Arial"/>
      </w:rPr>
    </w:pPr>
    <w:r>
      <w:rPr>
        <w:rFonts w:ascii="Arial" w:hAnsi="Arial" w:cs="Arial"/>
        <w:b/>
        <w:bCs/>
        <w:sz w:val="28"/>
        <w:szCs w:val="28"/>
      </w:rPr>
      <w:t>September 27</w:t>
    </w:r>
    <w:r w:rsidR="00ED1A98" w:rsidRPr="003572F9">
      <w:rPr>
        <w:rFonts w:ascii="Arial" w:hAnsi="Arial" w:cs="Arial"/>
        <w:b/>
        <w:bCs/>
        <w:sz w:val="28"/>
        <w:szCs w:val="28"/>
      </w:rPr>
      <w:t>,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33E87"/>
    <w:multiLevelType w:val="hybridMultilevel"/>
    <w:tmpl w:val="E8023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3B0997"/>
    <w:multiLevelType w:val="hybridMultilevel"/>
    <w:tmpl w:val="77CAED92"/>
    <w:lvl w:ilvl="0" w:tplc="3C7A979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trackRevisions/>
  <w:defaultTabStop w:val="720"/>
  <w:characterSpacingControl w:val="doNotCompress"/>
  <w:footnotePr>
    <w:footnote w:id="-1"/>
    <w:footnote w:id="0"/>
  </w:footnotePr>
  <w:endnotePr>
    <w:endnote w:id="-1"/>
    <w:endnote w:id="0"/>
  </w:endnotePr>
  <w:compat/>
  <w:rsids>
    <w:rsidRoot w:val="00A809D2"/>
    <w:rsid w:val="00012E9A"/>
    <w:rsid w:val="00016933"/>
    <w:rsid w:val="0004632D"/>
    <w:rsid w:val="000B2894"/>
    <w:rsid w:val="000F441B"/>
    <w:rsid w:val="00124D73"/>
    <w:rsid w:val="00147131"/>
    <w:rsid w:val="00173C91"/>
    <w:rsid w:val="00182313"/>
    <w:rsid w:val="001A7448"/>
    <w:rsid w:val="001C31ED"/>
    <w:rsid w:val="001E4B8F"/>
    <w:rsid w:val="00201E87"/>
    <w:rsid w:val="00263A0A"/>
    <w:rsid w:val="00276F09"/>
    <w:rsid w:val="003471ED"/>
    <w:rsid w:val="003572F9"/>
    <w:rsid w:val="003601BF"/>
    <w:rsid w:val="003762A9"/>
    <w:rsid w:val="0039117A"/>
    <w:rsid w:val="003D119D"/>
    <w:rsid w:val="003F7D5D"/>
    <w:rsid w:val="00432651"/>
    <w:rsid w:val="00443996"/>
    <w:rsid w:val="004641CB"/>
    <w:rsid w:val="00475ACE"/>
    <w:rsid w:val="004F4057"/>
    <w:rsid w:val="004F69C0"/>
    <w:rsid w:val="00560A0E"/>
    <w:rsid w:val="005A5531"/>
    <w:rsid w:val="005C5100"/>
    <w:rsid w:val="005F3F00"/>
    <w:rsid w:val="00636435"/>
    <w:rsid w:val="00652229"/>
    <w:rsid w:val="00654E3C"/>
    <w:rsid w:val="00675AF8"/>
    <w:rsid w:val="00696752"/>
    <w:rsid w:val="006A77C6"/>
    <w:rsid w:val="006B201B"/>
    <w:rsid w:val="006F5A49"/>
    <w:rsid w:val="007646DE"/>
    <w:rsid w:val="00775A7B"/>
    <w:rsid w:val="007B1C60"/>
    <w:rsid w:val="007F3D06"/>
    <w:rsid w:val="008036E6"/>
    <w:rsid w:val="00822A94"/>
    <w:rsid w:val="00835C25"/>
    <w:rsid w:val="00900053"/>
    <w:rsid w:val="00902166"/>
    <w:rsid w:val="00944BB9"/>
    <w:rsid w:val="009778D0"/>
    <w:rsid w:val="009A4625"/>
    <w:rsid w:val="00A06C19"/>
    <w:rsid w:val="00A13BB7"/>
    <w:rsid w:val="00A34A4F"/>
    <w:rsid w:val="00A360DA"/>
    <w:rsid w:val="00A809D2"/>
    <w:rsid w:val="00A85184"/>
    <w:rsid w:val="00AC3BBC"/>
    <w:rsid w:val="00AD741E"/>
    <w:rsid w:val="00B1411A"/>
    <w:rsid w:val="00B67854"/>
    <w:rsid w:val="00BD27C6"/>
    <w:rsid w:val="00C05D7D"/>
    <w:rsid w:val="00C9292A"/>
    <w:rsid w:val="00CE43E7"/>
    <w:rsid w:val="00D27570"/>
    <w:rsid w:val="00D8298B"/>
    <w:rsid w:val="00D87A2C"/>
    <w:rsid w:val="00DB7DD7"/>
    <w:rsid w:val="00DE07AC"/>
    <w:rsid w:val="00E35E92"/>
    <w:rsid w:val="00E51FFE"/>
    <w:rsid w:val="00ED1A98"/>
    <w:rsid w:val="00F07A0C"/>
    <w:rsid w:val="00FC2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4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448"/>
    <w:pPr>
      <w:ind w:left="720"/>
      <w:contextualSpacing/>
    </w:pPr>
  </w:style>
  <w:style w:type="paragraph" w:styleId="Header">
    <w:name w:val="header"/>
    <w:basedOn w:val="Normal"/>
    <w:link w:val="HeaderChar"/>
    <w:uiPriority w:val="99"/>
    <w:semiHidden/>
    <w:unhideWhenUsed/>
    <w:rsid w:val="00ED1A98"/>
    <w:pPr>
      <w:tabs>
        <w:tab w:val="center" w:pos="4680"/>
        <w:tab w:val="right" w:pos="9360"/>
      </w:tabs>
    </w:pPr>
  </w:style>
  <w:style w:type="character" w:customStyle="1" w:styleId="HeaderChar">
    <w:name w:val="Header Char"/>
    <w:basedOn w:val="DefaultParagraphFont"/>
    <w:link w:val="Header"/>
    <w:uiPriority w:val="99"/>
    <w:semiHidden/>
    <w:rsid w:val="00ED1A98"/>
    <w:rPr>
      <w:rFonts w:eastAsiaTheme="minorEastAsia"/>
      <w:sz w:val="24"/>
      <w:szCs w:val="24"/>
    </w:rPr>
  </w:style>
  <w:style w:type="paragraph" w:styleId="Footer">
    <w:name w:val="footer"/>
    <w:basedOn w:val="Normal"/>
    <w:link w:val="FooterChar"/>
    <w:uiPriority w:val="99"/>
    <w:semiHidden/>
    <w:unhideWhenUsed/>
    <w:rsid w:val="00ED1A98"/>
    <w:pPr>
      <w:tabs>
        <w:tab w:val="center" w:pos="4680"/>
        <w:tab w:val="right" w:pos="9360"/>
      </w:tabs>
    </w:pPr>
  </w:style>
  <w:style w:type="character" w:customStyle="1" w:styleId="FooterChar">
    <w:name w:val="Footer Char"/>
    <w:basedOn w:val="DefaultParagraphFont"/>
    <w:link w:val="Footer"/>
    <w:uiPriority w:val="99"/>
    <w:semiHidden/>
    <w:rsid w:val="00ED1A98"/>
    <w:rPr>
      <w:rFonts w:eastAsiaTheme="minorEastAsia"/>
      <w:sz w:val="24"/>
      <w:szCs w:val="24"/>
    </w:rPr>
  </w:style>
  <w:style w:type="paragraph" w:customStyle="1" w:styleId="Default">
    <w:name w:val="Default"/>
    <w:rsid w:val="00ED1A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Sempra Global</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sbailey</dc:creator>
  <cp:lastModifiedBy>sbailey</cp:lastModifiedBy>
  <cp:revision>2</cp:revision>
  <cp:lastPrinted>2011-08-02T18:19:00Z</cp:lastPrinted>
  <dcterms:created xsi:type="dcterms:W3CDTF">2011-09-27T19:44:00Z</dcterms:created>
  <dcterms:modified xsi:type="dcterms:W3CDTF">2011-09-27T19:44:00Z</dcterms:modified>
</cp:coreProperties>
</file>