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3F9" w:rsidRDefault="006E34A0">
      <w:pPr>
        <w:tabs>
          <w:tab w:val="left" w:pos="1080"/>
          <w:tab w:val="left" w:pos="5940"/>
        </w:tabs>
        <w:rPr>
          <w:rFonts w:ascii="Cambria" w:hAnsi="Cambria"/>
          <w:b/>
          <w:szCs w:val="24"/>
        </w:rPr>
      </w:pPr>
      <w:r w:rsidRPr="006E34A0">
        <w:rPr>
          <w:rFonts w:ascii="Cambria" w:hAnsi="Cambria"/>
          <w:noProof/>
          <w:szCs w:val="24"/>
        </w:rPr>
        <w:pict>
          <v:shapetype id="_x0000_t202" coordsize="21600,21600" o:spt="202" path="m,l,21600r21600,l21600,xe">
            <v:stroke joinstyle="miter"/>
            <v:path gradientshapeok="t" o:connecttype="rect"/>
          </v:shapetype>
          <v:shape id="_x0000_s1030" type="#_x0000_t202" style="position:absolute;margin-left:422.1pt;margin-top:-74.7pt;width:117pt;height:108pt;z-index:251658240" stroked="f">
            <v:textbox style="mso-next-textbox:#_x0000_s1030">
              <w:txbxContent>
                <w:p w:rsidR="007D533E" w:rsidRDefault="007D533E" w:rsidP="007D533E">
                  <w:pPr>
                    <w:rPr>
                      <w:rFonts w:ascii="Calibri" w:hAnsi="Calibri"/>
                      <w:b/>
                      <w:color w:val="000080"/>
                      <w:sz w:val="20"/>
                    </w:rPr>
                  </w:pPr>
                  <w:r>
                    <w:rPr>
                      <w:rFonts w:ascii="Calibri" w:hAnsi="Calibri"/>
                      <w:b/>
                      <w:color w:val="000080"/>
                      <w:sz w:val="20"/>
                    </w:rPr>
                    <w:t>CONTACT:</w:t>
                  </w:r>
                </w:p>
                <w:p w:rsidR="007D533E" w:rsidRDefault="007D533E" w:rsidP="007D533E">
                  <w:pPr>
                    <w:rPr>
                      <w:rFonts w:ascii="Calibri" w:hAnsi="Calibri"/>
                      <w:color w:val="000080"/>
                      <w:sz w:val="16"/>
                      <w:szCs w:val="16"/>
                    </w:rPr>
                  </w:pPr>
                  <w:r>
                    <w:rPr>
                      <w:rFonts w:ascii="Calibri" w:hAnsi="Calibri"/>
                      <w:color w:val="000080"/>
                      <w:sz w:val="16"/>
                      <w:szCs w:val="16"/>
                    </w:rPr>
                    <w:t>Eugene “Mitch” Mitchell</w:t>
                  </w:r>
                </w:p>
                <w:p w:rsidR="007D533E" w:rsidRDefault="007D533E" w:rsidP="007D533E">
                  <w:pPr>
                    <w:rPr>
                      <w:rFonts w:ascii="Calibri" w:hAnsi="Calibri"/>
                      <w:color w:val="000080"/>
                      <w:sz w:val="16"/>
                      <w:szCs w:val="16"/>
                    </w:rPr>
                  </w:pPr>
                  <w:r>
                    <w:rPr>
                      <w:rFonts w:ascii="Calibri" w:hAnsi="Calibri"/>
                      <w:color w:val="000080"/>
                      <w:sz w:val="16"/>
                      <w:szCs w:val="16"/>
                    </w:rPr>
                    <w:t>Vice President</w:t>
                  </w:r>
                </w:p>
                <w:p w:rsidR="007D533E" w:rsidRPr="00672F45" w:rsidRDefault="007D533E" w:rsidP="007D533E">
                  <w:pPr>
                    <w:rPr>
                      <w:rFonts w:ascii="Calibri" w:hAnsi="Calibri"/>
                      <w:i/>
                      <w:color w:val="000080"/>
                      <w:sz w:val="16"/>
                      <w:szCs w:val="16"/>
                    </w:rPr>
                  </w:pPr>
                  <w:r w:rsidRPr="00672F45">
                    <w:rPr>
                      <w:rFonts w:ascii="Calibri" w:hAnsi="Calibri"/>
                      <w:i/>
                      <w:color w:val="000080"/>
                      <w:sz w:val="16"/>
                      <w:szCs w:val="16"/>
                    </w:rPr>
                    <w:t>State Governmental Affairs</w:t>
                  </w:r>
                  <w:r w:rsidRPr="00672F45">
                    <w:rPr>
                      <w:rFonts w:ascii="Calibri" w:hAnsi="Calibri"/>
                      <w:i/>
                      <w:color w:val="000080"/>
                      <w:sz w:val="16"/>
                      <w:szCs w:val="16"/>
                    </w:rPr>
                    <w:br/>
                  </w:r>
                </w:p>
                <w:p w:rsidR="007D533E" w:rsidRDefault="007D533E" w:rsidP="007D533E">
                  <w:pPr>
                    <w:rPr>
                      <w:rFonts w:ascii="Calibri" w:hAnsi="Calibri"/>
                      <w:color w:val="000080"/>
                      <w:sz w:val="16"/>
                      <w:szCs w:val="16"/>
                    </w:rPr>
                  </w:pPr>
                  <w:r>
                    <w:rPr>
                      <w:rFonts w:ascii="Calibri" w:hAnsi="Calibri"/>
                      <w:color w:val="000080"/>
                      <w:sz w:val="16"/>
                      <w:szCs w:val="16"/>
                    </w:rPr>
                    <w:t>925 L Street, Suite 650</w:t>
                  </w:r>
                </w:p>
                <w:p w:rsidR="007D533E" w:rsidRDefault="007D533E" w:rsidP="007D533E">
                  <w:pPr>
                    <w:rPr>
                      <w:rFonts w:ascii="Calibri" w:hAnsi="Calibri"/>
                      <w:color w:val="000080"/>
                      <w:sz w:val="16"/>
                      <w:szCs w:val="16"/>
                    </w:rPr>
                  </w:pPr>
                  <w:r>
                    <w:rPr>
                      <w:rFonts w:ascii="Calibri" w:hAnsi="Calibri"/>
                      <w:color w:val="000080"/>
                      <w:sz w:val="16"/>
                      <w:szCs w:val="16"/>
                    </w:rPr>
                    <w:t>Sacramento, CA 95814</w:t>
                  </w:r>
                </w:p>
                <w:p w:rsidR="007D533E" w:rsidRDefault="007D533E" w:rsidP="007D533E">
                  <w:pPr>
                    <w:rPr>
                      <w:rFonts w:ascii="Calibri" w:hAnsi="Calibri"/>
                      <w:color w:val="FF0000"/>
                      <w:sz w:val="16"/>
                      <w:szCs w:val="16"/>
                    </w:rPr>
                  </w:pPr>
                  <w:r>
                    <w:rPr>
                      <w:rFonts w:ascii="Calibri" w:hAnsi="Calibri"/>
                      <w:color w:val="000080"/>
                      <w:sz w:val="16"/>
                      <w:szCs w:val="16"/>
                    </w:rPr>
                    <w:br/>
                  </w:r>
                  <w:r>
                    <w:rPr>
                      <w:rFonts w:ascii="Calibri" w:hAnsi="Calibri"/>
                      <w:color w:val="FF0000"/>
                      <w:sz w:val="16"/>
                      <w:szCs w:val="16"/>
                    </w:rPr>
                    <w:t>(916) 492-4245</w:t>
                  </w:r>
                </w:p>
                <w:p w:rsidR="007D533E" w:rsidRDefault="007D533E" w:rsidP="007D533E">
                  <w:pPr>
                    <w:rPr>
                      <w:rFonts w:ascii="Calibri" w:hAnsi="Calibri"/>
                      <w:color w:val="FF0000"/>
                      <w:sz w:val="16"/>
                      <w:szCs w:val="16"/>
                    </w:rPr>
                  </w:pPr>
                  <w:r>
                    <w:rPr>
                      <w:rFonts w:ascii="Calibri" w:hAnsi="Calibri"/>
                      <w:color w:val="FF0000"/>
                      <w:sz w:val="16"/>
                      <w:szCs w:val="16"/>
                    </w:rPr>
                    <w:t>emitchell@semprautilities.com</w:t>
                  </w:r>
                </w:p>
                <w:p w:rsidR="007D533E" w:rsidRDefault="007D533E" w:rsidP="007D533E"/>
                <w:p w:rsidR="007D533E" w:rsidRDefault="007D533E" w:rsidP="007D533E"/>
              </w:txbxContent>
            </v:textbox>
          </v:shape>
        </w:pict>
      </w:r>
    </w:p>
    <w:p w:rsidR="007D533E" w:rsidRDefault="007D533E" w:rsidP="007D533E">
      <w:pPr>
        <w:tabs>
          <w:tab w:val="left" w:pos="1080"/>
          <w:tab w:val="left" w:pos="5940"/>
        </w:tabs>
        <w:jc w:val="center"/>
        <w:rPr>
          <w:rFonts w:ascii="Cambria" w:hAnsi="Cambria"/>
          <w:szCs w:val="24"/>
        </w:rPr>
      </w:pPr>
    </w:p>
    <w:p w:rsidR="00A85D13" w:rsidRPr="00326C0E" w:rsidRDefault="00A85D13" w:rsidP="00A85D13">
      <w:pPr>
        <w:jc w:val="center"/>
        <w:rPr>
          <w:szCs w:val="24"/>
        </w:rPr>
      </w:pPr>
      <w:r w:rsidRPr="00326C0E">
        <w:rPr>
          <w:szCs w:val="24"/>
        </w:rPr>
        <w:t>September 27, 2011</w:t>
      </w:r>
    </w:p>
    <w:p w:rsidR="00A85D13" w:rsidRPr="00326C0E" w:rsidRDefault="00A85D13" w:rsidP="00A85D13">
      <w:pPr>
        <w:rPr>
          <w:szCs w:val="24"/>
        </w:rPr>
      </w:pPr>
    </w:p>
    <w:p w:rsidR="00A85D13" w:rsidRPr="00326C0E" w:rsidRDefault="00A85D13" w:rsidP="00A85D13">
      <w:pPr>
        <w:rPr>
          <w:szCs w:val="24"/>
        </w:rPr>
      </w:pPr>
      <w:r w:rsidRPr="00326C0E">
        <w:rPr>
          <w:szCs w:val="24"/>
        </w:rPr>
        <w:t>Clerk of the Board</w:t>
      </w:r>
    </w:p>
    <w:p w:rsidR="00A85D13" w:rsidRPr="00326C0E" w:rsidRDefault="00A85D13" w:rsidP="00A85D13">
      <w:pPr>
        <w:rPr>
          <w:szCs w:val="24"/>
        </w:rPr>
      </w:pPr>
      <w:r w:rsidRPr="00326C0E">
        <w:rPr>
          <w:szCs w:val="24"/>
        </w:rPr>
        <w:t>California Air Resources Board</w:t>
      </w:r>
    </w:p>
    <w:p w:rsidR="00A85D13" w:rsidRPr="00326C0E" w:rsidRDefault="00A85D13" w:rsidP="00A85D13">
      <w:pPr>
        <w:rPr>
          <w:szCs w:val="24"/>
        </w:rPr>
      </w:pPr>
      <w:r w:rsidRPr="00326C0E">
        <w:rPr>
          <w:szCs w:val="24"/>
        </w:rPr>
        <w:t>1001 I Street</w:t>
      </w:r>
    </w:p>
    <w:p w:rsidR="00A85D13" w:rsidRPr="00326C0E" w:rsidRDefault="00A85D13" w:rsidP="00A85D13">
      <w:pPr>
        <w:rPr>
          <w:szCs w:val="24"/>
        </w:rPr>
      </w:pPr>
      <w:r w:rsidRPr="00326C0E">
        <w:rPr>
          <w:szCs w:val="24"/>
        </w:rPr>
        <w:t>Sacramento</w:t>
      </w:r>
      <w:r w:rsidR="00D22D39">
        <w:rPr>
          <w:szCs w:val="24"/>
        </w:rPr>
        <w:t>,</w:t>
      </w:r>
      <w:r w:rsidRPr="00326C0E">
        <w:rPr>
          <w:szCs w:val="24"/>
        </w:rPr>
        <w:t xml:space="preserve"> CA 95814</w:t>
      </w:r>
    </w:p>
    <w:p w:rsidR="00A85D13" w:rsidRPr="00326C0E" w:rsidRDefault="00A85D13" w:rsidP="00A85D13">
      <w:pPr>
        <w:rPr>
          <w:szCs w:val="24"/>
        </w:rPr>
      </w:pPr>
    </w:p>
    <w:p w:rsidR="00A85D13" w:rsidRPr="00326C0E" w:rsidRDefault="00A85D13" w:rsidP="00CE4863">
      <w:pPr>
        <w:ind w:left="2160" w:hanging="720"/>
        <w:rPr>
          <w:szCs w:val="24"/>
        </w:rPr>
      </w:pPr>
      <w:r w:rsidRPr="00CE4863">
        <w:rPr>
          <w:b/>
          <w:szCs w:val="24"/>
        </w:rPr>
        <w:t>R</w:t>
      </w:r>
      <w:r w:rsidR="00CE4863" w:rsidRPr="00CE4863">
        <w:rPr>
          <w:b/>
          <w:szCs w:val="24"/>
        </w:rPr>
        <w:t>E</w:t>
      </w:r>
      <w:r w:rsidRPr="00CE4863">
        <w:rPr>
          <w:b/>
          <w:szCs w:val="24"/>
        </w:rPr>
        <w:t>:</w:t>
      </w:r>
      <w:r w:rsidRPr="00326C0E">
        <w:rPr>
          <w:szCs w:val="24"/>
        </w:rPr>
        <w:t xml:space="preserve"> </w:t>
      </w:r>
      <w:r w:rsidR="00CE4863">
        <w:rPr>
          <w:szCs w:val="24"/>
        </w:rPr>
        <w:t xml:space="preserve"> </w:t>
      </w:r>
      <w:r w:rsidR="00CE4863">
        <w:rPr>
          <w:szCs w:val="24"/>
        </w:rPr>
        <w:tab/>
      </w:r>
      <w:r w:rsidRPr="00326C0E">
        <w:rPr>
          <w:szCs w:val="24"/>
        </w:rPr>
        <w:t>Proposed Second 15-Day Modifications to Article 5:  California Cap on Greenhouse Gas Emissions and Market-based Compliance Mechanisms</w:t>
      </w:r>
    </w:p>
    <w:p w:rsidR="00A85D13" w:rsidRPr="00326C0E" w:rsidRDefault="00A85D13" w:rsidP="00A85D13">
      <w:pPr>
        <w:rPr>
          <w:szCs w:val="24"/>
        </w:rPr>
      </w:pPr>
    </w:p>
    <w:p w:rsidR="00A85D13" w:rsidRPr="00326C0E" w:rsidRDefault="00A85D13" w:rsidP="00A85D13">
      <w:pPr>
        <w:rPr>
          <w:szCs w:val="24"/>
        </w:rPr>
      </w:pPr>
      <w:r w:rsidRPr="00326C0E">
        <w:rPr>
          <w:szCs w:val="24"/>
        </w:rPr>
        <w:t xml:space="preserve">Dear Board Members: </w:t>
      </w:r>
    </w:p>
    <w:p w:rsidR="00A85D13" w:rsidRPr="00326C0E" w:rsidRDefault="00A85D13" w:rsidP="00A85D13">
      <w:pPr>
        <w:rPr>
          <w:szCs w:val="24"/>
        </w:rPr>
      </w:pPr>
    </w:p>
    <w:p w:rsidR="00A85D13" w:rsidRPr="00326C0E" w:rsidRDefault="00A85D13" w:rsidP="00A85D13">
      <w:pPr>
        <w:rPr>
          <w:szCs w:val="24"/>
        </w:rPr>
      </w:pPr>
      <w:r w:rsidRPr="00326C0E">
        <w:rPr>
          <w:szCs w:val="24"/>
        </w:rPr>
        <w:t>Southern Calif</w:t>
      </w:r>
      <w:r w:rsidR="00204A8C">
        <w:rPr>
          <w:szCs w:val="24"/>
        </w:rPr>
        <w:t>ornia Gas Company (SoCalGas) and</w:t>
      </w:r>
      <w:r w:rsidR="00E27A4D">
        <w:rPr>
          <w:szCs w:val="24"/>
        </w:rPr>
        <w:t xml:space="preserve"> San Diego Gas &amp;</w:t>
      </w:r>
      <w:r w:rsidRPr="00326C0E">
        <w:rPr>
          <w:szCs w:val="24"/>
        </w:rPr>
        <w:t xml:space="preserve"> Electric Company (SDG&amp;E), appreciate the opportunity to submit these written comments concerning the Proposed Second 15-Day Modifications to Article 5:  California Cap on Greenhouse Gas Emissions and Market-based Compliance Mechanisms.  We thank the Air Resource Board (ARB) Staff for numerous changes made in response to the first 15-day change comments.  The significant changes greatly improved the cap-and-trade regulation.  The comments here are minor and primarily seek to provide additional clarification to the regulation.</w:t>
      </w:r>
    </w:p>
    <w:p w:rsidR="00A85D13" w:rsidRPr="00326C0E" w:rsidRDefault="00A85D13" w:rsidP="00A85D13">
      <w:pPr>
        <w:rPr>
          <w:b/>
          <w:szCs w:val="24"/>
        </w:rPr>
      </w:pPr>
    </w:p>
    <w:p w:rsidR="00A85D13" w:rsidRPr="00326C0E" w:rsidRDefault="00A85D13" w:rsidP="00A85D13">
      <w:pPr>
        <w:rPr>
          <w:b/>
          <w:szCs w:val="24"/>
        </w:rPr>
      </w:pPr>
      <w:r w:rsidRPr="00326C0E">
        <w:rPr>
          <w:b/>
          <w:szCs w:val="24"/>
        </w:rPr>
        <w:t>Summary of Comments</w:t>
      </w:r>
    </w:p>
    <w:p w:rsidR="005C2E65" w:rsidRDefault="005C2E65" w:rsidP="005C2E65">
      <w:pPr>
        <w:autoSpaceDE w:val="0"/>
        <w:autoSpaceDN w:val="0"/>
        <w:adjustRightInd w:val="0"/>
        <w:rPr>
          <w:szCs w:val="24"/>
        </w:rPr>
      </w:pPr>
      <w:r w:rsidRPr="00326C0E">
        <w:rPr>
          <w:szCs w:val="24"/>
        </w:rPr>
        <w:t xml:space="preserve">ARB has made changes with respect to out-of-state renewable energy credits </w:t>
      </w:r>
      <w:r>
        <w:rPr>
          <w:szCs w:val="24"/>
        </w:rPr>
        <w:t xml:space="preserve">(RECs) </w:t>
      </w:r>
      <w:r w:rsidRPr="00326C0E">
        <w:rPr>
          <w:szCs w:val="24"/>
        </w:rPr>
        <w:t xml:space="preserve">which will result in a reduction of greenhouse gases, meeting the purpose and intent of both the Renewable Portfolio Standard (RPS) and AB 32. </w:t>
      </w:r>
      <w:r>
        <w:rPr>
          <w:szCs w:val="24"/>
        </w:rPr>
        <w:t xml:space="preserve"> </w:t>
      </w:r>
      <w:r w:rsidRPr="00326C0E">
        <w:rPr>
          <w:szCs w:val="24"/>
        </w:rPr>
        <w:t>However, the</w:t>
      </w:r>
      <w:r>
        <w:rPr>
          <w:szCs w:val="24"/>
        </w:rPr>
        <w:t xml:space="preserve"> recent change to the</w:t>
      </w:r>
      <w:r w:rsidRPr="00326C0E">
        <w:rPr>
          <w:szCs w:val="24"/>
        </w:rPr>
        <w:t xml:space="preserve"> rule </w:t>
      </w:r>
      <w:r>
        <w:rPr>
          <w:szCs w:val="24"/>
        </w:rPr>
        <w:t xml:space="preserve">creates an </w:t>
      </w:r>
      <w:r w:rsidRPr="00326C0E">
        <w:rPr>
          <w:szCs w:val="24"/>
        </w:rPr>
        <w:t>inconsisten</w:t>
      </w:r>
      <w:r>
        <w:rPr>
          <w:szCs w:val="24"/>
        </w:rPr>
        <w:t>cy</w:t>
      </w:r>
      <w:r w:rsidRPr="00326C0E">
        <w:rPr>
          <w:szCs w:val="24"/>
        </w:rPr>
        <w:t xml:space="preserve"> </w:t>
      </w:r>
      <w:r>
        <w:rPr>
          <w:szCs w:val="24"/>
        </w:rPr>
        <w:t>between AB</w:t>
      </w:r>
      <w:r w:rsidR="00C639D4">
        <w:rPr>
          <w:szCs w:val="24"/>
        </w:rPr>
        <w:t xml:space="preserve"> </w:t>
      </w:r>
      <w:r>
        <w:rPr>
          <w:szCs w:val="24"/>
        </w:rPr>
        <w:t xml:space="preserve">32 and </w:t>
      </w:r>
      <w:r w:rsidRPr="00326C0E">
        <w:rPr>
          <w:szCs w:val="24"/>
        </w:rPr>
        <w:t>the</w:t>
      </w:r>
      <w:r>
        <w:rPr>
          <w:szCs w:val="24"/>
        </w:rPr>
        <w:t xml:space="preserve"> recently signed 33%</w:t>
      </w:r>
      <w:r w:rsidRPr="00326C0E">
        <w:rPr>
          <w:szCs w:val="24"/>
        </w:rPr>
        <w:t xml:space="preserve"> RPS </w:t>
      </w:r>
      <w:r>
        <w:rPr>
          <w:szCs w:val="24"/>
        </w:rPr>
        <w:t xml:space="preserve">mandate.  </w:t>
      </w:r>
      <w:r w:rsidRPr="006F5F27">
        <w:rPr>
          <w:b/>
          <w:i/>
          <w:szCs w:val="24"/>
        </w:rPr>
        <w:t xml:space="preserve">Specifically, certain purchases resulting in transactions that meet RPS requirements </w:t>
      </w:r>
      <w:r w:rsidRPr="006F5F27">
        <w:rPr>
          <w:b/>
          <w:i/>
          <w:szCs w:val="24"/>
          <w:u w:val="single"/>
        </w:rPr>
        <w:t>will not</w:t>
      </w:r>
      <w:r w:rsidRPr="006F5F27">
        <w:rPr>
          <w:b/>
          <w:i/>
          <w:szCs w:val="24"/>
        </w:rPr>
        <w:t xml:space="preserve"> count toward GHG reductions</w:t>
      </w:r>
      <w:r>
        <w:rPr>
          <w:b/>
          <w:i/>
          <w:szCs w:val="24"/>
        </w:rPr>
        <w:t xml:space="preserve"> under AB</w:t>
      </w:r>
      <w:r w:rsidR="00C639D4">
        <w:rPr>
          <w:b/>
          <w:i/>
          <w:szCs w:val="24"/>
        </w:rPr>
        <w:t xml:space="preserve"> </w:t>
      </w:r>
      <w:r>
        <w:rPr>
          <w:b/>
          <w:i/>
          <w:szCs w:val="24"/>
        </w:rPr>
        <w:t>32</w:t>
      </w:r>
      <w:r>
        <w:rPr>
          <w:szCs w:val="24"/>
        </w:rPr>
        <w:t>.</w:t>
      </w:r>
      <w:r w:rsidRPr="00326C0E">
        <w:rPr>
          <w:szCs w:val="24"/>
        </w:rPr>
        <w:t xml:space="preserve">  </w:t>
      </w:r>
      <w:r>
        <w:rPr>
          <w:szCs w:val="24"/>
        </w:rPr>
        <w:t>This inconsistency is at odds with the ARB’s Scoping Plan for AB</w:t>
      </w:r>
      <w:r w:rsidR="00C639D4">
        <w:rPr>
          <w:szCs w:val="24"/>
        </w:rPr>
        <w:t xml:space="preserve"> </w:t>
      </w:r>
      <w:r>
        <w:rPr>
          <w:szCs w:val="24"/>
        </w:rPr>
        <w:t>32 which states, “For the purposes of calculating the reduction of greenhouse gas emissions in this Scoping Plan, ARB is counting emissions avoided by increasing the percentage of renewables in California’s electricity mix from the current level of 12 percent to the 33 percent goal…”</w:t>
      </w:r>
      <w:r>
        <w:rPr>
          <w:rStyle w:val="FootnoteReference"/>
          <w:szCs w:val="24"/>
        </w:rPr>
        <w:footnoteReference w:id="1"/>
      </w:r>
      <w:r>
        <w:rPr>
          <w:szCs w:val="24"/>
        </w:rPr>
        <w:t xml:space="preserve">  </w:t>
      </w:r>
      <w:r w:rsidRPr="00CC013B">
        <w:rPr>
          <w:szCs w:val="24"/>
        </w:rPr>
        <w:t>SoCalGas and SDG&amp;E</w:t>
      </w:r>
      <w:r>
        <w:rPr>
          <w:szCs w:val="24"/>
        </w:rPr>
        <w:t xml:space="preserve"> strongly recommend that ARB revise the language to not </w:t>
      </w:r>
      <w:r w:rsidRPr="00326C0E">
        <w:rPr>
          <w:szCs w:val="24"/>
        </w:rPr>
        <w:t xml:space="preserve"> exclude tradable RECs, purchased apart from the electricity, from the RPS adjustment </w:t>
      </w:r>
      <w:r>
        <w:rPr>
          <w:szCs w:val="24"/>
        </w:rPr>
        <w:t>that reduces</w:t>
      </w:r>
      <w:r w:rsidRPr="00326C0E">
        <w:rPr>
          <w:szCs w:val="24"/>
        </w:rPr>
        <w:t xml:space="preserve"> GHG emission compliance obligation</w:t>
      </w:r>
      <w:r>
        <w:rPr>
          <w:szCs w:val="24"/>
        </w:rPr>
        <w:t>s</w:t>
      </w:r>
      <w:r w:rsidRPr="00326C0E">
        <w:rPr>
          <w:szCs w:val="24"/>
        </w:rPr>
        <w:t xml:space="preserve">.  Because the Cap-and-Trade Regulation should be consistent with SB1x 2 ARB should modify the RPS adjustment to cover tradable RECs.   </w:t>
      </w:r>
    </w:p>
    <w:p w:rsidR="00A85D13" w:rsidRPr="00326C0E" w:rsidRDefault="00A85D13" w:rsidP="00A85D13">
      <w:pPr>
        <w:rPr>
          <w:szCs w:val="24"/>
        </w:rPr>
      </w:pPr>
    </w:p>
    <w:p w:rsidR="00A85D13" w:rsidRPr="00326C0E" w:rsidRDefault="00A85D13" w:rsidP="00A85D13">
      <w:pPr>
        <w:rPr>
          <w:szCs w:val="24"/>
        </w:rPr>
      </w:pPr>
      <w:r w:rsidRPr="00326C0E">
        <w:rPr>
          <w:szCs w:val="24"/>
        </w:rPr>
        <w:t xml:space="preserve">The changes to the resource shuffling provisions in the second 15-day Modifications are a </w:t>
      </w:r>
      <w:r w:rsidR="00204A8C">
        <w:rPr>
          <w:szCs w:val="24"/>
        </w:rPr>
        <w:t>step in the right direction</w:t>
      </w:r>
      <w:r w:rsidRPr="00326C0E">
        <w:rPr>
          <w:szCs w:val="24"/>
        </w:rPr>
        <w:t>, but the definition of r</w:t>
      </w:r>
      <w:r w:rsidR="00204A8C">
        <w:rPr>
          <w:szCs w:val="24"/>
        </w:rPr>
        <w:t>esource shuffling remains vague -</w:t>
      </w:r>
      <w:r w:rsidRPr="00326C0E">
        <w:rPr>
          <w:szCs w:val="24"/>
        </w:rPr>
        <w:t xml:space="preserve"> too vag</w:t>
      </w:r>
      <w:r w:rsidR="008D306F">
        <w:rPr>
          <w:szCs w:val="24"/>
        </w:rPr>
        <w:t xml:space="preserve">ue to be useful and too vague for the </w:t>
      </w:r>
      <w:r w:rsidRPr="00326C0E">
        <w:rPr>
          <w:szCs w:val="24"/>
        </w:rPr>
        <w:t>required</w:t>
      </w:r>
      <w:r w:rsidR="008D306F">
        <w:rPr>
          <w:szCs w:val="24"/>
        </w:rPr>
        <w:t xml:space="preserve"> </w:t>
      </w:r>
      <w:r w:rsidRPr="00326C0E">
        <w:rPr>
          <w:szCs w:val="24"/>
        </w:rPr>
        <w:t>resource shuffling</w:t>
      </w:r>
      <w:r w:rsidR="008D306F" w:rsidRPr="00326C0E">
        <w:rPr>
          <w:szCs w:val="24"/>
        </w:rPr>
        <w:t xml:space="preserve"> attestations</w:t>
      </w:r>
      <w:r w:rsidRPr="00326C0E">
        <w:rPr>
          <w:szCs w:val="24"/>
        </w:rPr>
        <w:t xml:space="preserve">.  ARB should use a placeholder for the definition until it undertakes further study of the issue. </w:t>
      </w:r>
    </w:p>
    <w:p w:rsidR="00A85D13" w:rsidRPr="00326C0E" w:rsidRDefault="00A85D13" w:rsidP="00A85D13">
      <w:pPr>
        <w:rPr>
          <w:szCs w:val="24"/>
        </w:rPr>
      </w:pPr>
    </w:p>
    <w:p w:rsidR="00A85D13" w:rsidRPr="00326C0E" w:rsidRDefault="00A85D13" w:rsidP="00A85D13">
      <w:pPr>
        <w:rPr>
          <w:szCs w:val="24"/>
        </w:rPr>
      </w:pPr>
      <w:r w:rsidRPr="00326C0E">
        <w:rPr>
          <w:szCs w:val="24"/>
        </w:rPr>
        <w:t xml:space="preserve">As previously requested, </w:t>
      </w:r>
      <w:r w:rsidRPr="00326C0E">
        <w:rPr>
          <w:color w:val="000000"/>
          <w:szCs w:val="24"/>
        </w:rPr>
        <w:t xml:space="preserve">ARB should continue to reserve a section for data potentially required for the Allocation to Natural Gas Distribution Utilities for Protection of Natural Gas Customers, which remains </w:t>
      </w:r>
      <w:r w:rsidR="00CE4863">
        <w:rPr>
          <w:color w:val="000000"/>
          <w:szCs w:val="24"/>
        </w:rPr>
        <w:br/>
      </w:r>
      <w:r w:rsidR="00CE4863">
        <w:rPr>
          <w:color w:val="000000"/>
          <w:szCs w:val="24"/>
        </w:rPr>
        <w:br/>
      </w:r>
      <w:r w:rsidR="00CE4863">
        <w:rPr>
          <w:color w:val="000000"/>
          <w:szCs w:val="24"/>
        </w:rPr>
        <w:lastRenderedPageBreak/>
        <w:br/>
      </w:r>
      <w:proofErr w:type="gramStart"/>
      <w:r w:rsidRPr="00326C0E">
        <w:rPr>
          <w:color w:val="000000"/>
          <w:szCs w:val="24"/>
        </w:rPr>
        <w:t>reserved</w:t>
      </w:r>
      <w:proofErr w:type="gramEnd"/>
      <w:r w:rsidRPr="00326C0E">
        <w:rPr>
          <w:color w:val="000000"/>
          <w:szCs w:val="24"/>
        </w:rPr>
        <w:t>.  Because ARB has acknowledged that it will be addressing the issue in the future, it is appropriate to explicitly reflect this in the adopted rule.</w:t>
      </w:r>
    </w:p>
    <w:p w:rsidR="00A85D13" w:rsidRPr="00326C0E" w:rsidRDefault="00A85D13" w:rsidP="00A85D13">
      <w:pPr>
        <w:rPr>
          <w:szCs w:val="24"/>
        </w:rPr>
      </w:pPr>
    </w:p>
    <w:p w:rsidR="00326C0E" w:rsidRDefault="00CC013B" w:rsidP="00A85D13">
      <w:pPr>
        <w:rPr>
          <w:szCs w:val="24"/>
        </w:rPr>
      </w:pPr>
      <w:r w:rsidRPr="00CC013B">
        <w:rPr>
          <w:szCs w:val="24"/>
        </w:rPr>
        <w:t>SoCalGas and SDG&amp;E</w:t>
      </w:r>
      <w:r>
        <w:rPr>
          <w:szCs w:val="24"/>
        </w:rPr>
        <w:t xml:space="preserve"> appreciate</w:t>
      </w:r>
      <w:r w:rsidR="00A85D13" w:rsidRPr="00326C0E">
        <w:rPr>
          <w:szCs w:val="24"/>
        </w:rPr>
        <w:t xml:space="preserve"> that ARB has qualified the definition of the term “pipeline quality natural gas” to be specific to its regulations.  We recommend ARB amend the term to “pipeline natural gas” to reduce customer confusion and the implication that gas </w:t>
      </w:r>
      <w:r w:rsidR="008D306F">
        <w:rPr>
          <w:szCs w:val="24"/>
        </w:rPr>
        <w:t>meeting</w:t>
      </w:r>
      <w:r w:rsidR="00A85D13" w:rsidRPr="00326C0E">
        <w:rPr>
          <w:szCs w:val="24"/>
        </w:rPr>
        <w:t xml:space="preserve"> pipeline specificat</w:t>
      </w:r>
      <w:r w:rsidR="00204A8C">
        <w:rPr>
          <w:szCs w:val="24"/>
        </w:rPr>
        <w:t>ions may</w:t>
      </w:r>
      <w:r w:rsidR="00A85D13" w:rsidRPr="00326C0E">
        <w:rPr>
          <w:szCs w:val="24"/>
        </w:rPr>
        <w:t xml:space="preserve"> nevertheless </w:t>
      </w:r>
      <w:r w:rsidR="00204A8C">
        <w:rPr>
          <w:szCs w:val="24"/>
        </w:rPr>
        <w:t>be deemed not of</w:t>
      </w:r>
      <w:r w:rsidR="00A85D13" w:rsidRPr="00326C0E">
        <w:rPr>
          <w:szCs w:val="24"/>
        </w:rPr>
        <w:t xml:space="preserve"> “pipeline quality</w:t>
      </w:r>
      <w:r w:rsidR="00204A8C">
        <w:rPr>
          <w:szCs w:val="24"/>
        </w:rPr>
        <w:t>.”</w:t>
      </w:r>
      <w:r w:rsidR="00A85D13" w:rsidRPr="00326C0E">
        <w:rPr>
          <w:szCs w:val="24"/>
        </w:rPr>
        <w:t xml:space="preserve">  The modification would not change the context or meaning in the cap-and-trade regulation.  </w:t>
      </w:r>
    </w:p>
    <w:p w:rsidR="00326C0E" w:rsidRDefault="00326C0E" w:rsidP="00A85D13">
      <w:pPr>
        <w:rPr>
          <w:szCs w:val="24"/>
        </w:rPr>
      </w:pPr>
    </w:p>
    <w:p w:rsidR="00A85D13" w:rsidRPr="00326C0E" w:rsidRDefault="00CC013B" w:rsidP="00A85D13">
      <w:pPr>
        <w:rPr>
          <w:szCs w:val="24"/>
        </w:rPr>
      </w:pPr>
      <w:r w:rsidRPr="00CC013B">
        <w:rPr>
          <w:szCs w:val="24"/>
        </w:rPr>
        <w:t>SoCalGas and SDG&amp;E</w:t>
      </w:r>
      <w:r>
        <w:rPr>
          <w:szCs w:val="24"/>
        </w:rPr>
        <w:t xml:space="preserve"> also offer</w:t>
      </w:r>
      <w:r w:rsidR="00A85D13" w:rsidRPr="00326C0E">
        <w:rPr>
          <w:szCs w:val="24"/>
        </w:rPr>
        <w:t xml:space="preserve"> a recom</w:t>
      </w:r>
      <w:r w:rsidR="00D9341F">
        <w:rPr>
          <w:szCs w:val="24"/>
        </w:rPr>
        <w:t xml:space="preserve">mendation that the 90% methane </w:t>
      </w:r>
      <w:r w:rsidR="00A85D13" w:rsidRPr="00326C0E">
        <w:rPr>
          <w:szCs w:val="24"/>
        </w:rPr>
        <w:t>specification should be studied further as it se</w:t>
      </w:r>
      <w:r w:rsidR="00D9341F">
        <w:rPr>
          <w:szCs w:val="24"/>
        </w:rPr>
        <w:t>rves no useful purpose within</w:t>
      </w:r>
      <w:r w:rsidR="00A85D13" w:rsidRPr="00326C0E">
        <w:rPr>
          <w:szCs w:val="24"/>
        </w:rPr>
        <w:t xml:space="preserve"> the context of the MRR. </w:t>
      </w:r>
    </w:p>
    <w:p w:rsidR="00D9341F" w:rsidRDefault="00D9341F" w:rsidP="00A85D13">
      <w:pPr>
        <w:rPr>
          <w:b/>
          <w:szCs w:val="24"/>
        </w:rPr>
      </w:pPr>
    </w:p>
    <w:p w:rsidR="00A85D13" w:rsidRPr="00326C0E" w:rsidRDefault="00D01021" w:rsidP="00A85D13">
      <w:pPr>
        <w:rPr>
          <w:b/>
          <w:szCs w:val="24"/>
        </w:rPr>
      </w:pPr>
      <w:r w:rsidRPr="00326C0E">
        <w:rPr>
          <w:b/>
          <w:szCs w:val="24"/>
        </w:rPr>
        <w:br/>
      </w:r>
      <w:r w:rsidR="00A85D13" w:rsidRPr="00326C0E">
        <w:rPr>
          <w:b/>
          <w:szCs w:val="24"/>
        </w:rPr>
        <w:t>Treatment of Out-of-State RECs</w:t>
      </w:r>
    </w:p>
    <w:p w:rsidR="00A85D13" w:rsidRPr="00326C0E" w:rsidRDefault="00A85D13" w:rsidP="00A85D13">
      <w:pPr>
        <w:rPr>
          <w:szCs w:val="24"/>
        </w:rPr>
      </w:pPr>
    </w:p>
    <w:p w:rsidR="00A85D13" w:rsidRPr="00326C0E" w:rsidRDefault="00A85D13" w:rsidP="00A85D13">
      <w:pPr>
        <w:rPr>
          <w:szCs w:val="24"/>
        </w:rPr>
      </w:pPr>
      <w:r w:rsidRPr="00326C0E">
        <w:rPr>
          <w:szCs w:val="24"/>
        </w:rPr>
        <w:t xml:space="preserve">SDG&amp;E and SoCalGas </w:t>
      </w:r>
      <w:r w:rsidR="00204A8C">
        <w:rPr>
          <w:szCs w:val="24"/>
        </w:rPr>
        <w:t xml:space="preserve">support </w:t>
      </w:r>
      <w:r w:rsidRPr="00326C0E">
        <w:rPr>
          <w:szCs w:val="24"/>
        </w:rPr>
        <w:t>ARB</w:t>
      </w:r>
      <w:r w:rsidR="00204A8C">
        <w:rPr>
          <w:szCs w:val="24"/>
        </w:rPr>
        <w:t>’s</w:t>
      </w:r>
      <w:r w:rsidRPr="00326C0E">
        <w:rPr>
          <w:szCs w:val="24"/>
        </w:rPr>
        <w:t xml:space="preserve"> modification to the Cap-and-Trade Regulation with respect</w:t>
      </w:r>
      <w:r w:rsidR="00204A8C">
        <w:rPr>
          <w:szCs w:val="24"/>
        </w:rPr>
        <w:t xml:space="preserve"> to</w:t>
      </w:r>
      <w:r w:rsidRPr="00326C0E">
        <w:rPr>
          <w:szCs w:val="24"/>
        </w:rPr>
        <w:t xml:space="preserve"> proposed changes in the second set of 15-day modifications regarding out-of-state renewables.  The regulation now recognize</w:t>
      </w:r>
      <w:r w:rsidR="00204A8C">
        <w:rPr>
          <w:szCs w:val="24"/>
        </w:rPr>
        <w:t>s</w:t>
      </w:r>
      <w:r w:rsidRPr="00326C0E">
        <w:rPr>
          <w:szCs w:val="24"/>
        </w:rPr>
        <w:t xml:space="preserve"> the greenhouse gas (GHG) reduction benefits of all of SDG&amp;E’s renewable contracts entered into to meet California’s renewable goals and so will count the GHG benefits from those contracts and will not artificially tighten the cap.  </w:t>
      </w:r>
    </w:p>
    <w:p w:rsidR="00A85D13" w:rsidRPr="00326C0E" w:rsidRDefault="00A85D13" w:rsidP="00A85D13">
      <w:pPr>
        <w:rPr>
          <w:szCs w:val="24"/>
        </w:rPr>
      </w:pPr>
    </w:p>
    <w:p w:rsidR="00A85D13" w:rsidRPr="00326C0E" w:rsidRDefault="00204A8C" w:rsidP="00A85D13">
      <w:pPr>
        <w:rPr>
          <w:szCs w:val="24"/>
        </w:rPr>
      </w:pPr>
      <w:r>
        <w:rPr>
          <w:szCs w:val="24"/>
        </w:rPr>
        <w:t>T</w:t>
      </w:r>
      <w:r w:rsidR="00A85D13" w:rsidRPr="00326C0E">
        <w:rPr>
          <w:szCs w:val="24"/>
        </w:rPr>
        <w:t>he proposed language remains inconsistent with the RPS</w:t>
      </w:r>
      <w:r>
        <w:rPr>
          <w:szCs w:val="24"/>
        </w:rPr>
        <w:t xml:space="preserve">, however, </w:t>
      </w:r>
      <w:r w:rsidR="00A85D13" w:rsidRPr="00326C0E">
        <w:rPr>
          <w:szCs w:val="24"/>
        </w:rPr>
        <w:t xml:space="preserve">insofar as it appears to </w:t>
      </w:r>
      <w:r>
        <w:rPr>
          <w:szCs w:val="24"/>
        </w:rPr>
        <w:t>dis</w:t>
      </w:r>
      <w:r w:rsidR="00A85D13" w:rsidRPr="00326C0E">
        <w:rPr>
          <w:szCs w:val="24"/>
        </w:rPr>
        <w:t>allow</w:t>
      </w:r>
      <w:r>
        <w:rPr>
          <w:szCs w:val="24"/>
        </w:rPr>
        <w:t xml:space="preserve"> the counting of </w:t>
      </w:r>
      <w:r w:rsidR="00A85D13" w:rsidRPr="00326C0E">
        <w:rPr>
          <w:szCs w:val="24"/>
        </w:rPr>
        <w:t>tradable RECs toward the RPS adjustment. As presented in the second set of 15-day modifications, the RPS adjustment requires a contract for the ele</w:t>
      </w:r>
      <w:r w:rsidR="003C598E">
        <w:rPr>
          <w:szCs w:val="24"/>
        </w:rPr>
        <w:t xml:space="preserve">ctricity and not just the REC.  </w:t>
      </w:r>
      <w:r w:rsidR="00A85D13" w:rsidRPr="00326C0E">
        <w:rPr>
          <w:szCs w:val="24"/>
        </w:rPr>
        <w:t>In contrast, under SB</w:t>
      </w:r>
      <w:r w:rsidR="00783AB1">
        <w:rPr>
          <w:szCs w:val="24"/>
        </w:rPr>
        <w:t>1x</w:t>
      </w:r>
      <w:r w:rsidR="00A85D13" w:rsidRPr="00326C0E">
        <w:rPr>
          <w:szCs w:val="24"/>
        </w:rPr>
        <w:t xml:space="preserve"> 2, unbundled RECs sold to a retail seller would meet RPS requirements, subject to limitations. Such transactions would result in a reduction of greenhouse gases, meeting the purpose and intent of both the RPS and AB 32. However, under the proposed Cap-and-Trade Regulation, RECs purchased apart from the electricity would not be treated as reducing GHG emissions. If ARB intended to align its regulation with the purpose and intent of SB</w:t>
      </w:r>
      <w:r w:rsidR="00783AB1">
        <w:rPr>
          <w:szCs w:val="24"/>
        </w:rPr>
        <w:t>1x</w:t>
      </w:r>
      <w:r w:rsidR="00A85D13" w:rsidRPr="00326C0E">
        <w:rPr>
          <w:szCs w:val="24"/>
        </w:rPr>
        <w:t xml:space="preserve"> 2, the Cap-and-Trade Regulation should be modified to allow tradable RECs </w:t>
      </w:r>
      <w:r w:rsidR="003C598E">
        <w:rPr>
          <w:szCs w:val="24"/>
        </w:rPr>
        <w:t>to the same extent as SB</w:t>
      </w:r>
      <w:r w:rsidR="00783AB1">
        <w:rPr>
          <w:szCs w:val="24"/>
        </w:rPr>
        <w:t>1x</w:t>
      </w:r>
      <w:r w:rsidR="003C598E">
        <w:rPr>
          <w:szCs w:val="24"/>
        </w:rPr>
        <w:t xml:space="preserve"> 2.  </w:t>
      </w:r>
      <w:r w:rsidR="00A85D13" w:rsidRPr="00326C0E">
        <w:rPr>
          <w:szCs w:val="24"/>
        </w:rPr>
        <w:t xml:space="preserve">There is no justification </w:t>
      </w:r>
      <w:r>
        <w:rPr>
          <w:szCs w:val="24"/>
        </w:rPr>
        <w:t xml:space="preserve">for </w:t>
      </w:r>
      <w:r w:rsidR="00A85D13" w:rsidRPr="00326C0E">
        <w:rPr>
          <w:szCs w:val="24"/>
        </w:rPr>
        <w:t>treating the RPS and AB 32 implementation differently</w:t>
      </w:r>
      <w:r>
        <w:rPr>
          <w:szCs w:val="24"/>
        </w:rPr>
        <w:t xml:space="preserve">, and </w:t>
      </w:r>
      <w:r w:rsidR="00A85D13" w:rsidRPr="00326C0E">
        <w:rPr>
          <w:szCs w:val="24"/>
        </w:rPr>
        <w:t xml:space="preserve">to do so would undermine the </w:t>
      </w:r>
      <w:r w:rsidR="005C2E65">
        <w:rPr>
          <w:szCs w:val="24"/>
        </w:rPr>
        <w:t xml:space="preserve">ARB’s own Scoping Plan and the </w:t>
      </w:r>
      <w:r w:rsidR="00A85D13" w:rsidRPr="00326C0E">
        <w:rPr>
          <w:szCs w:val="24"/>
        </w:rPr>
        <w:t xml:space="preserve">Legislature’s policies adopted in the RPS.  </w:t>
      </w:r>
    </w:p>
    <w:p w:rsidR="00A85D13" w:rsidRPr="00326C0E" w:rsidRDefault="00A85D13" w:rsidP="00A85D13">
      <w:pPr>
        <w:autoSpaceDE w:val="0"/>
        <w:autoSpaceDN w:val="0"/>
        <w:adjustRightInd w:val="0"/>
        <w:rPr>
          <w:szCs w:val="24"/>
        </w:rPr>
      </w:pPr>
    </w:p>
    <w:p w:rsidR="00A85D13" w:rsidRPr="00326C0E" w:rsidRDefault="00A85D13" w:rsidP="00A85D13">
      <w:pPr>
        <w:autoSpaceDE w:val="0"/>
        <w:autoSpaceDN w:val="0"/>
        <w:adjustRightInd w:val="0"/>
        <w:ind w:firstLine="720"/>
        <w:rPr>
          <w:b/>
          <w:szCs w:val="24"/>
        </w:rPr>
      </w:pPr>
      <w:r w:rsidRPr="00326C0E">
        <w:rPr>
          <w:b/>
          <w:szCs w:val="24"/>
        </w:rPr>
        <w:t>Recommended Modification of RPS Adjustment in Section 95852 -</w:t>
      </w:r>
    </w:p>
    <w:p w:rsidR="00A85D13" w:rsidRPr="00326C0E" w:rsidRDefault="00A85D13" w:rsidP="00A85D13">
      <w:pPr>
        <w:autoSpaceDE w:val="0"/>
        <w:autoSpaceDN w:val="0"/>
        <w:adjustRightInd w:val="0"/>
        <w:rPr>
          <w:color w:val="000000"/>
          <w:szCs w:val="24"/>
        </w:rPr>
      </w:pPr>
    </w:p>
    <w:p w:rsidR="00A85D13" w:rsidRPr="00326C0E" w:rsidRDefault="00A85D13" w:rsidP="003C598E">
      <w:pPr>
        <w:ind w:left="1800" w:hanging="360"/>
        <w:rPr>
          <w:szCs w:val="24"/>
        </w:rPr>
      </w:pPr>
      <w:r w:rsidRPr="00326C0E">
        <w:rPr>
          <w:szCs w:val="24"/>
        </w:rPr>
        <w:t xml:space="preserve">(4)  RPS adjustment. Electricity imported </w:t>
      </w:r>
      <w:r w:rsidR="000C3D11">
        <w:rPr>
          <w:b/>
          <w:szCs w:val="24"/>
          <w:u w:val="single"/>
        </w:rPr>
        <w:t xml:space="preserve">by an electricity importer </w:t>
      </w:r>
      <w:r w:rsidRPr="00326C0E">
        <w:rPr>
          <w:szCs w:val="24"/>
        </w:rPr>
        <w:t>or procured by an electricity importer from an eligible renewable energy resource reported pursuant to MRR</w:t>
      </w:r>
      <w:r w:rsidR="000C3D11">
        <w:rPr>
          <w:szCs w:val="24"/>
        </w:rPr>
        <w:t>, or RECs</w:t>
      </w:r>
      <w:r w:rsidRPr="00326C0E">
        <w:rPr>
          <w:szCs w:val="24"/>
        </w:rPr>
        <w:t xml:space="preserve"> must meet the following conditions to be included in the calculation of the RPS adjustment:</w:t>
      </w:r>
    </w:p>
    <w:p w:rsidR="00A85D13" w:rsidRPr="00326C0E" w:rsidRDefault="00A85D13" w:rsidP="003C598E">
      <w:pPr>
        <w:ind w:left="1800" w:hanging="360"/>
        <w:rPr>
          <w:szCs w:val="24"/>
        </w:rPr>
      </w:pPr>
      <w:r w:rsidRPr="00326C0E">
        <w:rPr>
          <w:szCs w:val="24"/>
        </w:rPr>
        <w:t xml:space="preserve"> </w:t>
      </w:r>
    </w:p>
    <w:p w:rsidR="00A85D13" w:rsidRPr="00326C0E" w:rsidRDefault="00A85D13" w:rsidP="003C598E">
      <w:pPr>
        <w:ind w:left="2160" w:hanging="360"/>
        <w:rPr>
          <w:szCs w:val="24"/>
        </w:rPr>
      </w:pPr>
      <w:r w:rsidRPr="00326C0E">
        <w:rPr>
          <w:szCs w:val="24"/>
        </w:rPr>
        <w:t xml:space="preserve">(A) The electricity importer must have either: </w:t>
      </w:r>
    </w:p>
    <w:p w:rsidR="00A85D13" w:rsidRPr="00326C0E" w:rsidRDefault="00A85D13" w:rsidP="003C598E">
      <w:pPr>
        <w:ind w:left="2520" w:hanging="360"/>
        <w:rPr>
          <w:szCs w:val="24"/>
        </w:rPr>
      </w:pPr>
      <w:r w:rsidRPr="00326C0E">
        <w:rPr>
          <w:szCs w:val="24"/>
        </w:rPr>
        <w:t xml:space="preserve">1.    Ownership or contract rights to procure the electricity </w:t>
      </w:r>
      <w:r w:rsidRPr="00326C0E">
        <w:rPr>
          <w:b/>
          <w:szCs w:val="24"/>
          <w:u w:val="single"/>
        </w:rPr>
        <w:t>or RECs</w:t>
      </w:r>
      <w:r w:rsidRPr="00326C0E">
        <w:rPr>
          <w:szCs w:val="24"/>
        </w:rPr>
        <w:t xml:space="preserve"> generated by the eligible renewable energy resource; or</w:t>
      </w:r>
    </w:p>
    <w:p w:rsidR="00A85D13" w:rsidRPr="00326C0E" w:rsidRDefault="00A85D13" w:rsidP="003C598E">
      <w:pPr>
        <w:ind w:left="2520" w:hanging="360"/>
        <w:rPr>
          <w:szCs w:val="24"/>
        </w:rPr>
      </w:pPr>
      <w:r w:rsidRPr="00326C0E">
        <w:rPr>
          <w:szCs w:val="24"/>
        </w:rPr>
        <w:t>2.   Have a contract to import electricity on behalf of a California entity that has ownership or contract rights to the electricity generated by the eligible renewable energy resource, as verified under MRR.</w:t>
      </w:r>
    </w:p>
    <w:p w:rsidR="00A85D13" w:rsidRDefault="00A85D13" w:rsidP="00A85D13">
      <w:pPr>
        <w:rPr>
          <w:b/>
          <w:szCs w:val="24"/>
        </w:rPr>
      </w:pPr>
    </w:p>
    <w:p w:rsidR="00D9341F" w:rsidRPr="00326C0E" w:rsidRDefault="00D9341F" w:rsidP="00A85D13">
      <w:pPr>
        <w:rPr>
          <w:b/>
          <w:szCs w:val="24"/>
        </w:rPr>
      </w:pPr>
    </w:p>
    <w:p w:rsidR="00CE4863" w:rsidRDefault="00CE4863" w:rsidP="00A85D13">
      <w:pPr>
        <w:rPr>
          <w:b/>
          <w:szCs w:val="24"/>
        </w:rPr>
      </w:pPr>
    </w:p>
    <w:p w:rsidR="00A85D13" w:rsidRPr="00326C0E" w:rsidRDefault="00CE4863" w:rsidP="00A85D13">
      <w:pPr>
        <w:rPr>
          <w:b/>
          <w:szCs w:val="24"/>
        </w:rPr>
      </w:pPr>
      <w:r>
        <w:rPr>
          <w:b/>
          <w:szCs w:val="24"/>
        </w:rPr>
        <w:br/>
      </w:r>
      <w:r w:rsidR="00A85D13" w:rsidRPr="00326C0E">
        <w:rPr>
          <w:b/>
          <w:szCs w:val="24"/>
        </w:rPr>
        <w:t>Resource Shuffling in Cap-and-Trade Regulation</w:t>
      </w:r>
    </w:p>
    <w:p w:rsidR="00A85D13" w:rsidRPr="00326C0E" w:rsidRDefault="00A85D13" w:rsidP="00A85D13">
      <w:pPr>
        <w:rPr>
          <w:b/>
          <w:szCs w:val="24"/>
        </w:rPr>
      </w:pPr>
    </w:p>
    <w:p w:rsidR="00A85D13" w:rsidRPr="00326C0E" w:rsidRDefault="00A85D13" w:rsidP="00A85D13">
      <w:pPr>
        <w:rPr>
          <w:szCs w:val="24"/>
        </w:rPr>
      </w:pPr>
      <w:r w:rsidRPr="00326C0E">
        <w:rPr>
          <w:szCs w:val="24"/>
        </w:rPr>
        <w:t xml:space="preserve">SDG&amp;E and SoCalGas share ARB’s concern for the integrity of the cap-and-trade program and the desire to prohibit resource shuffling.  The changes to the resource shuffling provisions in the second 15-day Modifications </w:t>
      </w:r>
      <w:r w:rsidR="00204A8C">
        <w:rPr>
          <w:szCs w:val="24"/>
        </w:rPr>
        <w:t xml:space="preserve">move in </w:t>
      </w:r>
      <w:r w:rsidRPr="00326C0E">
        <w:rPr>
          <w:szCs w:val="24"/>
        </w:rPr>
        <w:t xml:space="preserve">a positive direction, but the definition is too vague for market participants to know whether they have engaged in such action.  For ARB to </w:t>
      </w:r>
      <w:r w:rsidR="00204A8C">
        <w:rPr>
          <w:szCs w:val="24"/>
        </w:rPr>
        <w:t xml:space="preserve">effectively </w:t>
      </w:r>
      <w:r w:rsidRPr="00326C0E">
        <w:rPr>
          <w:szCs w:val="24"/>
        </w:rPr>
        <w:t>deal with Resource Shuffling, the definition of resource shuffling ne</w:t>
      </w:r>
      <w:r w:rsidR="008D306F">
        <w:rPr>
          <w:szCs w:val="24"/>
        </w:rPr>
        <w:t>eds to be more precise</w:t>
      </w:r>
      <w:r w:rsidRPr="00326C0E">
        <w:rPr>
          <w:szCs w:val="24"/>
        </w:rPr>
        <w:t xml:space="preserve">.  ARB has indicated that it will refine the definition of resource shuffling next year and that should </w:t>
      </w:r>
      <w:r w:rsidR="00204A8C">
        <w:rPr>
          <w:szCs w:val="24"/>
        </w:rPr>
        <w:t xml:space="preserve">be </w:t>
      </w:r>
      <w:r w:rsidRPr="00326C0E">
        <w:rPr>
          <w:szCs w:val="24"/>
        </w:rPr>
        <w:t>part of the Board Resolution adopting the regulation.</w:t>
      </w:r>
    </w:p>
    <w:p w:rsidR="00326C0E" w:rsidRDefault="00326C0E" w:rsidP="00A85D13">
      <w:pPr>
        <w:rPr>
          <w:szCs w:val="24"/>
        </w:rPr>
      </w:pPr>
    </w:p>
    <w:p w:rsidR="00A85D13" w:rsidRPr="00326C0E" w:rsidRDefault="00204A8C" w:rsidP="00A85D13">
      <w:pPr>
        <w:rPr>
          <w:szCs w:val="24"/>
        </w:rPr>
      </w:pPr>
      <w:r>
        <w:rPr>
          <w:szCs w:val="24"/>
        </w:rPr>
        <w:t>G</w:t>
      </w:r>
      <w:r w:rsidR="00A85D13" w:rsidRPr="00326C0E">
        <w:rPr>
          <w:szCs w:val="24"/>
        </w:rPr>
        <w:t xml:space="preserve">iven the proposed attestation about resource shuffling, </w:t>
      </w:r>
      <w:r>
        <w:rPr>
          <w:szCs w:val="24"/>
        </w:rPr>
        <w:t xml:space="preserve">however, </w:t>
      </w:r>
      <w:r w:rsidR="00A85D13" w:rsidRPr="00326C0E">
        <w:rPr>
          <w:szCs w:val="24"/>
        </w:rPr>
        <w:t>the definition should be reserved until it is fully fleshed out.  No entity could sign an attestation based on the current vague definition of resource shuffling, where ARB is the sole determinant of what the defin</w:t>
      </w:r>
      <w:r>
        <w:rPr>
          <w:szCs w:val="24"/>
        </w:rPr>
        <w:t>ition means. The Cap-and-Trade R</w:t>
      </w:r>
      <w:r w:rsidR="00A85D13" w:rsidRPr="00326C0E">
        <w:rPr>
          <w:szCs w:val="24"/>
        </w:rPr>
        <w:t xml:space="preserve">egulation should leave a placeholder for the precise definition of Resource Shuffling or should eliminate the attestation.        </w:t>
      </w:r>
    </w:p>
    <w:p w:rsidR="00A85D13" w:rsidRPr="00326C0E" w:rsidRDefault="00A85D13" w:rsidP="00A85D13">
      <w:pPr>
        <w:rPr>
          <w:szCs w:val="24"/>
        </w:rPr>
      </w:pPr>
    </w:p>
    <w:p w:rsidR="00A85D13" w:rsidRPr="00326C0E" w:rsidRDefault="00A85D13" w:rsidP="00A85D13">
      <w:pPr>
        <w:autoSpaceDE w:val="0"/>
        <w:autoSpaceDN w:val="0"/>
        <w:adjustRightInd w:val="0"/>
        <w:ind w:firstLine="720"/>
        <w:rPr>
          <w:color w:val="000000"/>
          <w:szCs w:val="24"/>
        </w:rPr>
      </w:pPr>
      <w:r w:rsidRPr="00326C0E">
        <w:rPr>
          <w:b/>
          <w:szCs w:val="24"/>
        </w:rPr>
        <w:t>Recommended Modification of Resource Shuffling Definition in Section 95802 -</w:t>
      </w:r>
    </w:p>
    <w:p w:rsidR="00A85D13" w:rsidRPr="00326C0E" w:rsidRDefault="00A85D13" w:rsidP="00A85D13">
      <w:pPr>
        <w:autoSpaceDE w:val="0"/>
        <w:autoSpaceDN w:val="0"/>
        <w:adjustRightInd w:val="0"/>
        <w:rPr>
          <w:color w:val="000000"/>
          <w:szCs w:val="24"/>
        </w:rPr>
      </w:pPr>
    </w:p>
    <w:p w:rsidR="00A85D13" w:rsidRPr="00326C0E" w:rsidRDefault="00A85D13" w:rsidP="003C598E">
      <w:pPr>
        <w:ind w:left="1440"/>
        <w:rPr>
          <w:szCs w:val="24"/>
        </w:rPr>
      </w:pPr>
      <w:r w:rsidRPr="00326C0E">
        <w:rPr>
          <w:szCs w:val="24"/>
        </w:rPr>
        <w:t xml:space="preserve">(251) “Resource Shuffling”  </w:t>
      </w:r>
      <w:r w:rsidRPr="00326C0E">
        <w:rPr>
          <w:b/>
          <w:szCs w:val="24"/>
          <w:u w:val="single"/>
        </w:rPr>
        <w:t>[Reserved]</w:t>
      </w:r>
      <w:r w:rsidRPr="00326C0E">
        <w:rPr>
          <w:szCs w:val="24"/>
        </w:rPr>
        <w:t xml:space="preserve"> </w:t>
      </w:r>
      <w:r w:rsidRPr="00326C0E">
        <w:rPr>
          <w:strike/>
          <w:szCs w:val="24"/>
        </w:rPr>
        <w:t>means any plan, scheme, or artifice to receive credit based on emissions reductions that have not occurred, involving the delivery of electricity to the California grid.</w:t>
      </w:r>
    </w:p>
    <w:p w:rsidR="00A85D13" w:rsidRPr="00326C0E" w:rsidRDefault="00A85D13" w:rsidP="00A85D13">
      <w:pPr>
        <w:autoSpaceDE w:val="0"/>
        <w:autoSpaceDN w:val="0"/>
        <w:adjustRightInd w:val="0"/>
        <w:ind w:left="1440"/>
        <w:rPr>
          <w:szCs w:val="24"/>
        </w:rPr>
      </w:pPr>
    </w:p>
    <w:p w:rsidR="00A85D13" w:rsidRPr="00326C0E" w:rsidRDefault="00A85D13" w:rsidP="00A85D13">
      <w:pPr>
        <w:pStyle w:val="Default"/>
        <w:rPr>
          <w:rFonts w:ascii="Times New Roman" w:hAnsi="Times New Roman"/>
          <w:b/>
          <w:bCs/>
        </w:rPr>
      </w:pPr>
      <w:r w:rsidRPr="00326C0E">
        <w:rPr>
          <w:rFonts w:ascii="Times New Roman" w:hAnsi="Times New Roman"/>
          <w:b/>
          <w:bCs/>
        </w:rPr>
        <w:t>Sections “Reserved” for Natural Gas Should Not Be Deleted</w:t>
      </w:r>
    </w:p>
    <w:p w:rsidR="00A85D13" w:rsidRPr="00326C0E" w:rsidRDefault="00A85D13" w:rsidP="00A85D13">
      <w:pPr>
        <w:rPr>
          <w:szCs w:val="24"/>
        </w:rPr>
      </w:pPr>
    </w:p>
    <w:p w:rsidR="00A85D13" w:rsidRPr="00326C0E" w:rsidRDefault="00A85D13" w:rsidP="00A85D13">
      <w:pPr>
        <w:autoSpaceDE w:val="0"/>
        <w:autoSpaceDN w:val="0"/>
        <w:adjustRightInd w:val="0"/>
        <w:rPr>
          <w:color w:val="000000"/>
          <w:szCs w:val="24"/>
        </w:rPr>
      </w:pPr>
      <w:r w:rsidRPr="00326C0E">
        <w:rPr>
          <w:color w:val="000000"/>
          <w:szCs w:val="24"/>
        </w:rPr>
        <w:t xml:space="preserve">Section 95870 (d)(2) and Section 95890 (c) should be included and not deleted.  Since ARB has not </w:t>
      </w:r>
      <w:r w:rsidR="00204A8C">
        <w:rPr>
          <w:color w:val="000000"/>
          <w:szCs w:val="24"/>
        </w:rPr>
        <w:t xml:space="preserve">yet </w:t>
      </w:r>
      <w:r w:rsidRPr="00326C0E">
        <w:rPr>
          <w:color w:val="000000"/>
          <w:szCs w:val="24"/>
        </w:rPr>
        <w:t xml:space="preserve">decided how to allocate allowances to natural gas utilities for the protection of their small customers as evidenced by Section 95893 being “Reserved for Allocation to Natural Gas Distribution Utilities for Protection of Natural Gas Customers,” it is premature to delete sections that support an allocation to natural gas utilities on behalf of their customers.   </w:t>
      </w:r>
    </w:p>
    <w:p w:rsidR="00A85D13" w:rsidRPr="00326C0E" w:rsidRDefault="00A85D13" w:rsidP="00A85D13">
      <w:pPr>
        <w:autoSpaceDE w:val="0"/>
        <w:autoSpaceDN w:val="0"/>
        <w:adjustRightInd w:val="0"/>
        <w:rPr>
          <w:color w:val="000000"/>
          <w:szCs w:val="24"/>
        </w:rPr>
      </w:pPr>
    </w:p>
    <w:p w:rsidR="00A85D13" w:rsidRPr="00326C0E" w:rsidRDefault="00CC013B" w:rsidP="00A85D13">
      <w:pPr>
        <w:autoSpaceDE w:val="0"/>
        <w:autoSpaceDN w:val="0"/>
        <w:adjustRightInd w:val="0"/>
        <w:rPr>
          <w:color w:val="000000"/>
          <w:szCs w:val="24"/>
        </w:rPr>
      </w:pPr>
      <w:r w:rsidRPr="00CC013B">
        <w:rPr>
          <w:color w:val="000000"/>
          <w:szCs w:val="24"/>
        </w:rPr>
        <w:t>SoCalGas and SDG&amp;E</w:t>
      </w:r>
      <w:r>
        <w:rPr>
          <w:color w:val="000000"/>
          <w:szCs w:val="24"/>
        </w:rPr>
        <w:t xml:space="preserve"> reiterate their</w:t>
      </w:r>
      <w:r w:rsidR="00A85D13" w:rsidRPr="00326C0E">
        <w:rPr>
          <w:color w:val="000000"/>
          <w:szCs w:val="24"/>
        </w:rPr>
        <w:t xml:space="preserve"> position that ARB should allocate a significant percent of the sector emissions to gas </w:t>
      </w:r>
      <w:r w:rsidR="00204A8C">
        <w:rPr>
          <w:color w:val="000000"/>
          <w:szCs w:val="24"/>
        </w:rPr>
        <w:t>local distribution companies (</w:t>
      </w:r>
      <w:r w:rsidR="00A85D13" w:rsidRPr="00326C0E">
        <w:rPr>
          <w:color w:val="000000"/>
          <w:szCs w:val="24"/>
        </w:rPr>
        <w:t>LDCs</w:t>
      </w:r>
      <w:r w:rsidR="00204A8C">
        <w:rPr>
          <w:color w:val="000000"/>
          <w:szCs w:val="24"/>
        </w:rPr>
        <w:t>)</w:t>
      </w:r>
      <w:r w:rsidR="00A85D13" w:rsidRPr="00326C0E">
        <w:rPr>
          <w:color w:val="000000"/>
          <w:szCs w:val="24"/>
        </w:rPr>
        <w:t xml:space="preserve"> for the benefit of their customers when the sector enters the cap-and-trade in 2015.  Such an allocation will protect low income customers and small business, will avoid double payment by LDC customers for energy efficiency and </w:t>
      </w:r>
      <w:r w:rsidR="00BC2FD0">
        <w:rPr>
          <w:color w:val="000000"/>
          <w:szCs w:val="24"/>
        </w:rPr>
        <w:t>research and development (</w:t>
      </w:r>
      <w:r w:rsidR="00A85D13" w:rsidRPr="00326C0E">
        <w:rPr>
          <w:color w:val="000000"/>
          <w:szCs w:val="24"/>
        </w:rPr>
        <w:t>RD&amp;D</w:t>
      </w:r>
      <w:r w:rsidR="00BC2FD0">
        <w:rPr>
          <w:color w:val="000000"/>
          <w:szCs w:val="24"/>
        </w:rPr>
        <w:t>)</w:t>
      </w:r>
      <w:r w:rsidR="00A85D13" w:rsidRPr="00326C0E">
        <w:rPr>
          <w:color w:val="000000"/>
          <w:szCs w:val="24"/>
        </w:rPr>
        <w:t xml:space="preserve"> programs, and will avoid rate shock.  Gas LDCs are rate regulated in such a manner that allowance value can be designated for the benefit of the small natural gas consumers who face the incidence of the carbon price.  ARB should retain sections reserved for an allocation to natural gas utilities until ARB has adequately considered the issue, just as it has done in Section 95893.</w:t>
      </w:r>
    </w:p>
    <w:p w:rsidR="00A85D13" w:rsidRDefault="00A85D13" w:rsidP="00A85D13">
      <w:pPr>
        <w:autoSpaceDE w:val="0"/>
        <w:autoSpaceDN w:val="0"/>
        <w:adjustRightInd w:val="0"/>
        <w:ind w:firstLine="720"/>
        <w:rPr>
          <w:b/>
          <w:szCs w:val="24"/>
        </w:rPr>
      </w:pPr>
    </w:p>
    <w:p w:rsidR="00A85D13" w:rsidRPr="00326C0E" w:rsidRDefault="003C598E" w:rsidP="00A85D13">
      <w:pPr>
        <w:autoSpaceDE w:val="0"/>
        <w:autoSpaceDN w:val="0"/>
        <w:adjustRightInd w:val="0"/>
        <w:ind w:firstLine="720"/>
        <w:rPr>
          <w:color w:val="000000"/>
          <w:szCs w:val="24"/>
        </w:rPr>
      </w:pPr>
      <w:r>
        <w:rPr>
          <w:b/>
          <w:szCs w:val="24"/>
        </w:rPr>
        <w:t xml:space="preserve">Recommended </w:t>
      </w:r>
      <w:r w:rsidR="00A85D13" w:rsidRPr="00326C0E">
        <w:rPr>
          <w:b/>
          <w:szCs w:val="24"/>
        </w:rPr>
        <w:t>Modification of Direct Disposition Provisions in Section 95870 -</w:t>
      </w:r>
    </w:p>
    <w:p w:rsidR="00A85D13" w:rsidRPr="00326C0E" w:rsidRDefault="00A85D13" w:rsidP="00A85D13">
      <w:pPr>
        <w:autoSpaceDE w:val="0"/>
        <w:autoSpaceDN w:val="0"/>
        <w:adjustRightInd w:val="0"/>
        <w:rPr>
          <w:color w:val="000000"/>
          <w:szCs w:val="24"/>
        </w:rPr>
      </w:pPr>
    </w:p>
    <w:p w:rsidR="00A85D13" w:rsidRPr="00326C0E" w:rsidRDefault="00A85D13" w:rsidP="00A85D13">
      <w:pPr>
        <w:autoSpaceDE w:val="0"/>
        <w:autoSpaceDN w:val="0"/>
        <w:adjustRightInd w:val="0"/>
        <w:rPr>
          <w:b/>
          <w:color w:val="000000"/>
          <w:szCs w:val="24"/>
        </w:rPr>
      </w:pPr>
      <w:r w:rsidRPr="00326C0E">
        <w:rPr>
          <w:b/>
          <w:color w:val="000000"/>
          <w:szCs w:val="24"/>
        </w:rPr>
        <w:t xml:space="preserve">Undelete </w:t>
      </w:r>
    </w:p>
    <w:p w:rsidR="00A85D13" w:rsidRPr="00326C0E" w:rsidRDefault="00A85D13" w:rsidP="00D9341F">
      <w:pPr>
        <w:autoSpaceDE w:val="0"/>
        <w:autoSpaceDN w:val="0"/>
        <w:adjustRightInd w:val="0"/>
        <w:ind w:left="1440"/>
        <w:rPr>
          <w:b/>
          <w:color w:val="000000"/>
          <w:szCs w:val="24"/>
          <w:u w:val="single"/>
        </w:rPr>
      </w:pPr>
      <w:r w:rsidRPr="00326C0E">
        <w:rPr>
          <w:color w:val="000000"/>
          <w:szCs w:val="24"/>
        </w:rPr>
        <w:t xml:space="preserve">95870(d)(2) </w:t>
      </w:r>
      <w:r w:rsidRPr="00326C0E">
        <w:rPr>
          <w:b/>
          <w:color w:val="000000"/>
          <w:szCs w:val="24"/>
          <w:u w:val="single"/>
        </w:rPr>
        <w:t xml:space="preserve"> Reserved for Natural Gas Distribution Utilities.</w:t>
      </w:r>
    </w:p>
    <w:p w:rsidR="00A85D13" w:rsidRPr="00326C0E" w:rsidRDefault="00A85D13" w:rsidP="00A85D13">
      <w:pPr>
        <w:autoSpaceDE w:val="0"/>
        <w:autoSpaceDN w:val="0"/>
        <w:adjustRightInd w:val="0"/>
        <w:rPr>
          <w:color w:val="000000"/>
          <w:szCs w:val="24"/>
        </w:rPr>
      </w:pPr>
    </w:p>
    <w:p w:rsidR="00D9341F" w:rsidRDefault="00D9341F" w:rsidP="00A85D13">
      <w:pPr>
        <w:autoSpaceDE w:val="0"/>
        <w:autoSpaceDN w:val="0"/>
        <w:adjustRightInd w:val="0"/>
        <w:rPr>
          <w:b/>
          <w:color w:val="000000"/>
          <w:szCs w:val="24"/>
        </w:rPr>
      </w:pPr>
    </w:p>
    <w:p w:rsidR="005C2E65" w:rsidRDefault="005C2E65" w:rsidP="00A85D13">
      <w:pPr>
        <w:autoSpaceDE w:val="0"/>
        <w:autoSpaceDN w:val="0"/>
        <w:adjustRightInd w:val="0"/>
        <w:rPr>
          <w:b/>
          <w:color w:val="000000"/>
          <w:szCs w:val="24"/>
        </w:rPr>
      </w:pPr>
    </w:p>
    <w:p w:rsidR="00CE4863" w:rsidRDefault="00CE4863" w:rsidP="00A85D13">
      <w:pPr>
        <w:autoSpaceDE w:val="0"/>
        <w:autoSpaceDN w:val="0"/>
        <w:adjustRightInd w:val="0"/>
        <w:rPr>
          <w:b/>
          <w:color w:val="000000"/>
          <w:szCs w:val="24"/>
        </w:rPr>
      </w:pPr>
    </w:p>
    <w:p w:rsidR="00CE4863" w:rsidRDefault="00CE4863" w:rsidP="00A85D13">
      <w:pPr>
        <w:autoSpaceDE w:val="0"/>
        <w:autoSpaceDN w:val="0"/>
        <w:adjustRightInd w:val="0"/>
        <w:rPr>
          <w:b/>
          <w:color w:val="000000"/>
          <w:szCs w:val="24"/>
        </w:rPr>
      </w:pPr>
    </w:p>
    <w:p w:rsidR="00CE4863" w:rsidRDefault="00CE4863" w:rsidP="00A85D13">
      <w:pPr>
        <w:autoSpaceDE w:val="0"/>
        <w:autoSpaceDN w:val="0"/>
        <w:adjustRightInd w:val="0"/>
        <w:rPr>
          <w:b/>
          <w:color w:val="000000"/>
          <w:szCs w:val="24"/>
        </w:rPr>
      </w:pPr>
    </w:p>
    <w:p w:rsidR="00A85D13" w:rsidRPr="00326C0E" w:rsidRDefault="00A85D13" w:rsidP="00A85D13">
      <w:pPr>
        <w:autoSpaceDE w:val="0"/>
        <w:autoSpaceDN w:val="0"/>
        <w:adjustRightInd w:val="0"/>
        <w:rPr>
          <w:b/>
          <w:color w:val="000000"/>
          <w:szCs w:val="24"/>
        </w:rPr>
      </w:pPr>
      <w:r w:rsidRPr="00326C0E">
        <w:rPr>
          <w:b/>
          <w:color w:val="000000"/>
          <w:szCs w:val="24"/>
        </w:rPr>
        <w:t>Use of Term “Pipeline Quality Natural Gas”</w:t>
      </w:r>
    </w:p>
    <w:p w:rsidR="00A85D13" w:rsidRPr="00326C0E" w:rsidRDefault="00A85D13" w:rsidP="00A85D13">
      <w:pPr>
        <w:autoSpaceDE w:val="0"/>
        <w:autoSpaceDN w:val="0"/>
        <w:adjustRightInd w:val="0"/>
        <w:rPr>
          <w:color w:val="000000"/>
          <w:szCs w:val="24"/>
        </w:rPr>
      </w:pPr>
    </w:p>
    <w:p w:rsidR="00A85D13" w:rsidRPr="00326C0E" w:rsidRDefault="00A85D13" w:rsidP="00A85D13">
      <w:pPr>
        <w:autoSpaceDE w:val="0"/>
        <w:autoSpaceDN w:val="0"/>
        <w:adjustRightInd w:val="0"/>
        <w:rPr>
          <w:color w:val="000000"/>
          <w:szCs w:val="24"/>
        </w:rPr>
      </w:pPr>
      <w:r w:rsidRPr="00326C0E">
        <w:rPr>
          <w:color w:val="000000"/>
          <w:szCs w:val="24"/>
        </w:rPr>
        <w:t>Use of the word “quality” in Section 95802 (197) “Pipeline Quality Natural Gas” is used in the context of these regulations to define a default “range” for purposes of MRR calculations.  While ARB has added the qualifier, “As used in this regulation</w:t>
      </w:r>
      <w:r w:rsidR="00BC2FD0">
        <w:rPr>
          <w:color w:val="000000"/>
          <w:szCs w:val="24"/>
        </w:rPr>
        <w:t>,”</w:t>
      </w:r>
      <w:r w:rsidRPr="00326C0E">
        <w:rPr>
          <w:color w:val="000000"/>
          <w:szCs w:val="24"/>
        </w:rPr>
        <w:t xml:space="preserve"> the word “quality” can be elimina</w:t>
      </w:r>
      <w:r w:rsidR="00BC2FD0">
        <w:rPr>
          <w:color w:val="000000"/>
          <w:szCs w:val="24"/>
        </w:rPr>
        <w:t>ted without changing meaning or</w:t>
      </w:r>
      <w:r w:rsidRPr="00326C0E">
        <w:rPr>
          <w:color w:val="000000"/>
          <w:szCs w:val="24"/>
        </w:rPr>
        <w:t xml:space="preserve"> function.</w:t>
      </w:r>
    </w:p>
    <w:p w:rsidR="00A85D13" w:rsidRPr="00326C0E" w:rsidRDefault="00A85D13" w:rsidP="00A85D13">
      <w:pPr>
        <w:autoSpaceDE w:val="0"/>
        <w:autoSpaceDN w:val="0"/>
        <w:adjustRightInd w:val="0"/>
        <w:rPr>
          <w:color w:val="000000"/>
          <w:szCs w:val="24"/>
        </w:rPr>
      </w:pPr>
    </w:p>
    <w:p w:rsidR="00A85D13" w:rsidRPr="00326C0E" w:rsidRDefault="00A85D13" w:rsidP="00A85D13">
      <w:pPr>
        <w:autoSpaceDE w:val="0"/>
        <w:autoSpaceDN w:val="0"/>
        <w:adjustRightInd w:val="0"/>
        <w:rPr>
          <w:color w:val="000000"/>
          <w:szCs w:val="24"/>
        </w:rPr>
      </w:pPr>
      <w:r w:rsidRPr="00326C0E">
        <w:rPr>
          <w:color w:val="000000"/>
          <w:szCs w:val="24"/>
        </w:rPr>
        <w:t xml:space="preserve">The California Public Utility Commission </w:t>
      </w:r>
      <w:r w:rsidR="00BC2FD0">
        <w:rPr>
          <w:color w:val="000000"/>
          <w:szCs w:val="24"/>
        </w:rPr>
        <w:t xml:space="preserve">(CPUC) </w:t>
      </w:r>
      <w:r w:rsidRPr="00326C0E">
        <w:rPr>
          <w:color w:val="000000"/>
          <w:szCs w:val="24"/>
        </w:rPr>
        <w:t xml:space="preserve">approves the natural gas specifications </w:t>
      </w:r>
      <w:r w:rsidR="00BC2FD0">
        <w:rPr>
          <w:color w:val="000000"/>
          <w:szCs w:val="24"/>
        </w:rPr>
        <w:t xml:space="preserve">that </w:t>
      </w:r>
      <w:r w:rsidRPr="00326C0E">
        <w:rPr>
          <w:color w:val="000000"/>
          <w:szCs w:val="24"/>
        </w:rPr>
        <w:t>utilities must deliver to their customers.  Since the CPUC has authority over natural gas quality issues, ARB should choose a different term to define the “default range” for the calculations required under this regulation.</w:t>
      </w:r>
    </w:p>
    <w:p w:rsidR="00326C0E" w:rsidRDefault="00326C0E" w:rsidP="00A85D13">
      <w:pPr>
        <w:autoSpaceDE w:val="0"/>
        <w:autoSpaceDN w:val="0"/>
        <w:adjustRightInd w:val="0"/>
        <w:rPr>
          <w:color w:val="000000"/>
          <w:szCs w:val="24"/>
        </w:rPr>
      </w:pPr>
    </w:p>
    <w:p w:rsidR="00A85D13" w:rsidRPr="00326C0E" w:rsidRDefault="00A85D13" w:rsidP="00A85D13">
      <w:pPr>
        <w:autoSpaceDE w:val="0"/>
        <w:autoSpaceDN w:val="0"/>
        <w:adjustRightInd w:val="0"/>
        <w:rPr>
          <w:color w:val="000000"/>
          <w:szCs w:val="24"/>
        </w:rPr>
      </w:pPr>
      <w:r w:rsidRPr="00326C0E">
        <w:rPr>
          <w:color w:val="000000"/>
          <w:szCs w:val="24"/>
        </w:rPr>
        <w:t>Additionally, the word “quality” i</w:t>
      </w:r>
      <w:r w:rsidR="00BC2FD0">
        <w:rPr>
          <w:color w:val="000000"/>
          <w:szCs w:val="24"/>
        </w:rPr>
        <w:t>mplies a standard or grade that</w:t>
      </w:r>
      <w:r w:rsidRPr="00326C0E">
        <w:rPr>
          <w:color w:val="000000"/>
          <w:szCs w:val="24"/>
        </w:rPr>
        <w:t xml:space="preserve"> has an intrinsic value, characteristic or features.  In many cases the word “quality” is used to imply excellence or grade and implies a positive connotation wherein anything that is not “quality” creates a negative connotation.  The use of the word “quality” may create a level of confusion among natural gas users because it could be construed as implying</w:t>
      </w:r>
      <w:r w:rsidRPr="00326C0E">
        <w:rPr>
          <w:szCs w:val="24"/>
        </w:rPr>
        <w:t xml:space="preserve"> that gas that meets pipeline specifications is nevertheless not “pipeline quality</w:t>
      </w:r>
      <w:r w:rsidR="00BC2FD0">
        <w:rPr>
          <w:szCs w:val="24"/>
        </w:rPr>
        <w:t>.”</w:t>
      </w:r>
    </w:p>
    <w:p w:rsidR="00A85D13" w:rsidRPr="00326C0E" w:rsidRDefault="00A85D13" w:rsidP="00A85D13">
      <w:pPr>
        <w:autoSpaceDE w:val="0"/>
        <w:autoSpaceDN w:val="0"/>
        <w:adjustRightInd w:val="0"/>
        <w:rPr>
          <w:color w:val="000000"/>
          <w:szCs w:val="24"/>
        </w:rPr>
      </w:pPr>
    </w:p>
    <w:p w:rsidR="00A85D13" w:rsidRPr="00326C0E" w:rsidRDefault="00A85D13" w:rsidP="003C598E">
      <w:pPr>
        <w:autoSpaceDE w:val="0"/>
        <w:autoSpaceDN w:val="0"/>
        <w:adjustRightInd w:val="0"/>
        <w:rPr>
          <w:b/>
          <w:color w:val="000000"/>
          <w:szCs w:val="24"/>
        </w:rPr>
      </w:pPr>
      <w:r w:rsidRPr="00326C0E">
        <w:rPr>
          <w:b/>
          <w:color w:val="000000"/>
          <w:szCs w:val="24"/>
        </w:rPr>
        <w:t>Delete</w:t>
      </w:r>
    </w:p>
    <w:p w:rsidR="00A85D13" w:rsidRPr="00326C0E" w:rsidRDefault="00A85D13" w:rsidP="003C598E">
      <w:pPr>
        <w:autoSpaceDE w:val="0"/>
        <w:autoSpaceDN w:val="0"/>
        <w:adjustRightInd w:val="0"/>
        <w:ind w:left="1440"/>
        <w:rPr>
          <w:color w:val="000000"/>
          <w:szCs w:val="24"/>
        </w:rPr>
      </w:pPr>
      <w:r w:rsidRPr="00326C0E">
        <w:rPr>
          <w:color w:val="000000"/>
          <w:szCs w:val="24"/>
        </w:rPr>
        <w:t xml:space="preserve">The phrase “pipeline quality natural gas” should be modified throughout the regulation to </w:t>
      </w:r>
      <w:r w:rsidR="00BC2FD0">
        <w:rPr>
          <w:color w:val="000000"/>
          <w:szCs w:val="24"/>
        </w:rPr>
        <w:t xml:space="preserve">state </w:t>
      </w:r>
      <w:r w:rsidRPr="00326C0E">
        <w:rPr>
          <w:color w:val="000000"/>
          <w:szCs w:val="24"/>
        </w:rPr>
        <w:t xml:space="preserve">“pipeline natural gas.”  </w:t>
      </w:r>
    </w:p>
    <w:p w:rsidR="00A85D13" w:rsidRPr="00326C0E" w:rsidRDefault="00A85D13" w:rsidP="00A85D13">
      <w:pPr>
        <w:autoSpaceDE w:val="0"/>
        <w:autoSpaceDN w:val="0"/>
        <w:adjustRightInd w:val="0"/>
        <w:rPr>
          <w:color w:val="000000"/>
          <w:szCs w:val="24"/>
        </w:rPr>
      </w:pPr>
    </w:p>
    <w:p w:rsidR="00A85D13" w:rsidRPr="00326C0E" w:rsidRDefault="00A85D13" w:rsidP="00A85D13">
      <w:pPr>
        <w:autoSpaceDE w:val="0"/>
        <w:autoSpaceDN w:val="0"/>
        <w:adjustRightInd w:val="0"/>
        <w:rPr>
          <w:color w:val="000000"/>
          <w:szCs w:val="24"/>
        </w:rPr>
      </w:pPr>
      <w:r w:rsidRPr="00326C0E">
        <w:rPr>
          <w:color w:val="000000"/>
          <w:szCs w:val="24"/>
        </w:rPr>
        <w:t xml:space="preserve">In addition to the fact that the California Public Utility Commission approves the </w:t>
      </w:r>
      <w:r w:rsidR="00BC2FD0">
        <w:rPr>
          <w:color w:val="000000"/>
          <w:szCs w:val="24"/>
        </w:rPr>
        <w:t>natural gas specifications that</w:t>
      </w:r>
      <w:r w:rsidRPr="00326C0E">
        <w:rPr>
          <w:color w:val="000000"/>
          <w:szCs w:val="24"/>
        </w:rPr>
        <w:t xml:space="preserve"> utilities must deliver to their customers it must be noted that requiring at least ninety percent methane by volume would narrow the number of sources that can apply a default value to emissions calculations but would serve no other relevant purpose in eithe</w:t>
      </w:r>
      <w:r w:rsidR="00BC2FD0">
        <w:rPr>
          <w:color w:val="000000"/>
          <w:szCs w:val="24"/>
        </w:rPr>
        <w:t>r the MRR or the Cap and Trade R</w:t>
      </w:r>
      <w:r w:rsidRPr="00326C0E">
        <w:rPr>
          <w:color w:val="000000"/>
          <w:szCs w:val="24"/>
        </w:rPr>
        <w:t xml:space="preserve">egulation.  </w:t>
      </w:r>
      <w:r w:rsidRPr="00326C0E">
        <w:rPr>
          <w:szCs w:val="24"/>
        </w:rPr>
        <w:t xml:space="preserve">In fact the opposite would occur causing natural gas users to conduct excessive analysis with insignificant results.  </w:t>
      </w:r>
      <w:r w:rsidR="00CC013B" w:rsidRPr="00CC013B">
        <w:rPr>
          <w:color w:val="000000"/>
          <w:szCs w:val="24"/>
        </w:rPr>
        <w:t>SoCalGas and SDG&amp;E</w:t>
      </w:r>
      <w:r w:rsidR="00CC013B">
        <w:rPr>
          <w:color w:val="000000"/>
          <w:szCs w:val="24"/>
        </w:rPr>
        <w:t xml:space="preserve"> request</w:t>
      </w:r>
      <w:r w:rsidRPr="00326C0E">
        <w:rPr>
          <w:color w:val="000000"/>
          <w:szCs w:val="24"/>
        </w:rPr>
        <w:t xml:space="preserve"> ARB exclude the ninety percent methane requirement from this rule pending further study of the effects and burden of this “enhanced” reporting requirement.  </w:t>
      </w:r>
    </w:p>
    <w:p w:rsidR="00326C0E" w:rsidRDefault="00326C0E" w:rsidP="00A85D13">
      <w:pPr>
        <w:autoSpaceDE w:val="0"/>
        <w:autoSpaceDN w:val="0"/>
        <w:adjustRightInd w:val="0"/>
        <w:rPr>
          <w:color w:val="000000"/>
          <w:szCs w:val="24"/>
        </w:rPr>
      </w:pPr>
    </w:p>
    <w:p w:rsidR="00A85D13" w:rsidRPr="00326C0E" w:rsidRDefault="00A85D13" w:rsidP="00A85D13">
      <w:pPr>
        <w:autoSpaceDE w:val="0"/>
        <w:autoSpaceDN w:val="0"/>
        <w:adjustRightInd w:val="0"/>
        <w:rPr>
          <w:color w:val="000000"/>
          <w:szCs w:val="24"/>
        </w:rPr>
      </w:pPr>
      <w:r w:rsidRPr="00326C0E">
        <w:rPr>
          <w:color w:val="000000"/>
          <w:szCs w:val="24"/>
        </w:rPr>
        <w:t>The portion of Section 95802 (197) “and which is at least ninety percent methane by volume,” should be deleted.</w:t>
      </w:r>
    </w:p>
    <w:p w:rsidR="00A85D13" w:rsidRPr="00326C0E" w:rsidRDefault="00A85D13" w:rsidP="00A85D13">
      <w:pPr>
        <w:autoSpaceDE w:val="0"/>
        <w:autoSpaceDN w:val="0"/>
        <w:adjustRightInd w:val="0"/>
        <w:rPr>
          <w:b/>
          <w:color w:val="000000"/>
          <w:szCs w:val="24"/>
        </w:rPr>
      </w:pPr>
    </w:p>
    <w:p w:rsidR="00A85D13" w:rsidRPr="00326C0E" w:rsidRDefault="00A85D13" w:rsidP="00A85D13">
      <w:pPr>
        <w:autoSpaceDE w:val="0"/>
        <w:autoSpaceDN w:val="0"/>
        <w:adjustRightInd w:val="0"/>
        <w:rPr>
          <w:b/>
          <w:color w:val="000000"/>
          <w:szCs w:val="24"/>
        </w:rPr>
      </w:pPr>
      <w:r w:rsidRPr="00326C0E">
        <w:rPr>
          <w:b/>
          <w:color w:val="000000"/>
          <w:szCs w:val="24"/>
        </w:rPr>
        <w:t>Modify</w:t>
      </w:r>
    </w:p>
    <w:p w:rsidR="00A85D13" w:rsidRPr="00326C0E" w:rsidRDefault="00A85D13" w:rsidP="003C598E">
      <w:pPr>
        <w:autoSpaceDE w:val="0"/>
        <w:autoSpaceDN w:val="0"/>
        <w:adjustRightInd w:val="0"/>
        <w:ind w:left="1440"/>
        <w:rPr>
          <w:b/>
          <w:color w:val="000000"/>
          <w:szCs w:val="24"/>
        </w:rPr>
      </w:pPr>
      <w:r w:rsidRPr="00326C0E">
        <w:rPr>
          <w:szCs w:val="24"/>
        </w:rPr>
        <w:t xml:space="preserve">(197) “Pipeline </w:t>
      </w:r>
      <w:r w:rsidRPr="00326C0E">
        <w:rPr>
          <w:strike/>
          <w:szCs w:val="24"/>
        </w:rPr>
        <w:t xml:space="preserve">quality </w:t>
      </w:r>
      <w:r w:rsidRPr="00326C0E">
        <w:rPr>
          <w:szCs w:val="24"/>
        </w:rPr>
        <w:t xml:space="preserve">natural gas” means, for the purpose of calculating emissions under this article, natural gas having a high heat value greater than 970 Btu/scf and equal to or less than 1,100 Btu/scf, </w:t>
      </w:r>
      <w:r w:rsidRPr="00326C0E">
        <w:rPr>
          <w:strike/>
          <w:szCs w:val="24"/>
        </w:rPr>
        <w:t>and which is at least ninety percent methane by volume,</w:t>
      </w:r>
      <w:r w:rsidRPr="00326C0E">
        <w:rPr>
          <w:szCs w:val="24"/>
        </w:rPr>
        <w:t xml:space="preserve"> and which is less than five percent carbon dioxide by volume.</w:t>
      </w:r>
    </w:p>
    <w:p w:rsidR="00A85D13" w:rsidRPr="00326C0E" w:rsidRDefault="00A85D13" w:rsidP="00A85D13">
      <w:pPr>
        <w:rPr>
          <w:szCs w:val="24"/>
        </w:rPr>
      </w:pPr>
    </w:p>
    <w:p w:rsidR="00A85D13" w:rsidRPr="00326C0E" w:rsidRDefault="00BC2FD0" w:rsidP="00A85D13">
      <w:pPr>
        <w:rPr>
          <w:bCs/>
          <w:szCs w:val="24"/>
        </w:rPr>
      </w:pPr>
      <w:r>
        <w:rPr>
          <w:bCs/>
          <w:szCs w:val="24"/>
        </w:rPr>
        <w:t xml:space="preserve">We appreciate Staff’s support of an open </w:t>
      </w:r>
      <w:r w:rsidR="00A85D13" w:rsidRPr="00326C0E">
        <w:rPr>
          <w:bCs/>
          <w:szCs w:val="24"/>
        </w:rPr>
        <w:t xml:space="preserve">dialogue and </w:t>
      </w:r>
      <w:r>
        <w:rPr>
          <w:bCs/>
          <w:szCs w:val="24"/>
        </w:rPr>
        <w:t xml:space="preserve">stakeholder </w:t>
      </w:r>
      <w:r w:rsidR="00A85D13" w:rsidRPr="00326C0E">
        <w:rPr>
          <w:bCs/>
          <w:szCs w:val="24"/>
        </w:rPr>
        <w:t>participation in discussing this regulation</w:t>
      </w:r>
      <w:r w:rsidR="00326C0E">
        <w:rPr>
          <w:bCs/>
          <w:szCs w:val="24"/>
        </w:rPr>
        <w:t>,</w:t>
      </w:r>
      <w:r w:rsidR="00A85D13" w:rsidRPr="00326C0E">
        <w:rPr>
          <w:bCs/>
          <w:szCs w:val="24"/>
        </w:rPr>
        <w:t xml:space="preserve"> and the opportunity to furnish these comments.</w:t>
      </w:r>
    </w:p>
    <w:p w:rsidR="00A85D13" w:rsidRPr="00326C0E" w:rsidRDefault="00A85D13" w:rsidP="00A85D13">
      <w:pPr>
        <w:rPr>
          <w:bCs/>
          <w:szCs w:val="24"/>
        </w:rPr>
      </w:pPr>
    </w:p>
    <w:p w:rsidR="00A85D13" w:rsidRPr="00A85D13" w:rsidRDefault="00A85D13" w:rsidP="00A85D13">
      <w:pPr>
        <w:rPr>
          <w:bCs/>
          <w:sz w:val="22"/>
          <w:szCs w:val="22"/>
        </w:rPr>
      </w:pPr>
      <w:r w:rsidRPr="00326C0E">
        <w:rPr>
          <w:bCs/>
          <w:szCs w:val="24"/>
        </w:rPr>
        <w:t>Yours sincerely,</w:t>
      </w:r>
    </w:p>
    <w:p w:rsidR="00A85D13" w:rsidRPr="00A85D13" w:rsidRDefault="00CE4863" w:rsidP="00A85D13">
      <w:pPr>
        <w:rPr>
          <w:bCs/>
          <w:sz w:val="22"/>
          <w:szCs w:val="22"/>
        </w:rPr>
      </w:pPr>
      <w:r w:rsidRPr="00CE4863">
        <w:rPr>
          <w:bCs/>
          <w:sz w:val="22"/>
          <w:szCs w:val="22"/>
        </w:rPr>
        <w:drawing>
          <wp:inline distT="0" distB="0" distL="0" distR="0">
            <wp:extent cx="2362200" cy="581025"/>
            <wp:effectExtent l="19050" t="0" r="0"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362200" cy="581025"/>
                    </a:xfrm>
                    <a:prstGeom prst="rect">
                      <a:avLst/>
                    </a:prstGeom>
                    <a:noFill/>
                    <a:ln w="9525">
                      <a:noFill/>
                      <a:miter lim="800000"/>
                      <a:headEnd/>
                      <a:tailEnd/>
                    </a:ln>
                  </pic:spPr>
                </pic:pic>
              </a:graphicData>
            </a:graphic>
          </wp:inline>
        </w:drawing>
      </w:r>
    </w:p>
    <w:sectPr w:rsidR="00A85D13" w:rsidRPr="00A85D13" w:rsidSect="00D01021">
      <w:footerReference w:type="default" r:id="rId9"/>
      <w:headerReference w:type="first" r:id="rId10"/>
      <w:pgSz w:w="12240" w:h="15840" w:code="1"/>
      <w:pgMar w:top="619" w:right="1008" w:bottom="720" w:left="1008"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1D2" w:rsidRDefault="000521D2">
      <w:r>
        <w:separator/>
      </w:r>
    </w:p>
  </w:endnote>
  <w:endnote w:type="continuationSeparator" w:id="0">
    <w:p w:rsidR="000521D2" w:rsidRDefault="000521D2">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New York"/>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Map Symbols">
    <w:charset w:val="00"/>
    <w:family w:val="roman"/>
    <w:pitch w:val="variable"/>
    <w:sig w:usb0="00000003" w:usb1="00000000" w:usb2="00000000" w:usb3="00000000" w:csb0="00000001" w:csb1="00000000"/>
  </w:font>
  <w:font w:name="Courier New">
    <w:altName w:val="Courier New"/>
    <w:panose1 w:val="02070309020205020404"/>
    <w:charset w:val="00"/>
    <w:family w:val="modern"/>
    <w:pitch w:val="fixed"/>
    <w:sig w:usb0="20002A87" w:usb1="80000000" w:usb2="00000008" w:usb3="00000000" w:csb0="000001FF" w:csb1="00000000"/>
  </w:font>
  <w:font w:name="Arial">
    <w:altName w:val="Helvetica"/>
    <w:panose1 w:val="020B0604020202020204"/>
    <w:charset w:val="00"/>
    <w:family w:val="swiss"/>
    <w:pitch w:val="variable"/>
    <w:sig w:usb0="20002A87" w:usb1="80000000" w:usb2="00000008" w:usb3="00000000" w:csb0="000001FF" w:csb1="00000000"/>
  </w:font>
  <w:font w:name="Tahoma">
    <w:altName w:val="Tahoma"/>
    <w:panose1 w:val="020B0604030504040204"/>
    <w:charset w:val="00"/>
    <w:family w:val="swiss"/>
    <w:pitch w:val="variable"/>
    <w:sig w:usb0="61002A87" w:usb1="80000000" w:usb2="00000008" w:usb3="00000000" w:csb0="000101FF" w:csb1="00000000"/>
  </w:font>
  <w:font w:name="HHLEN N+ Melior">
    <w:altName w:val="Times New Roman"/>
    <w:charset w:val="00"/>
    <w:family w:val="auto"/>
    <w:pitch w:val="default"/>
    <w:sig w:usb0="00000000" w:usb1="00000000" w:usb2="00000000" w:usb3="00000000" w:csb0="00000000" w:csb1="00000000"/>
  </w:font>
  <w:font w:name="Calibri">
    <w:altName w:val="Times New Roman"/>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9319041"/>
      <w:docPartObj>
        <w:docPartGallery w:val="Page Numbers (Bottom of Page)"/>
        <w:docPartUnique/>
      </w:docPartObj>
    </w:sdtPr>
    <w:sdtEndPr>
      <w:rPr>
        <w:color w:val="7F7F7F" w:themeColor="background1" w:themeShade="7F"/>
        <w:spacing w:val="60"/>
      </w:rPr>
    </w:sdtEndPr>
    <w:sdtContent>
      <w:p w:rsidR="00D01021" w:rsidRDefault="00CC013B" w:rsidP="00CE4863">
        <w:pPr>
          <w:pStyle w:val="Footer"/>
          <w:pBdr>
            <w:top w:val="single" w:sz="4" w:space="1" w:color="D9D9D9" w:themeColor="background1" w:themeShade="D9"/>
          </w:pBdr>
          <w:jc w:val="center"/>
        </w:pPr>
        <w:r w:rsidRPr="00CC013B">
          <w:rPr>
            <w:sz w:val="20"/>
          </w:rPr>
          <w:t>SoCalGas and SDG&amp;E</w:t>
        </w:r>
        <w:r w:rsidR="00D01021" w:rsidRPr="00D01021">
          <w:rPr>
            <w:sz w:val="20"/>
          </w:rPr>
          <w:t xml:space="preserve"> comments - Proposed Second 15-Day Modification: CA Cap on GHG Emissions; Marked-based</w:t>
        </w:r>
        <w:r w:rsidR="00CE4863">
          <w:rPr>
            <w:sz w:val="20"/>
          </w:rPr>
          <w:t xml:space="preserve"> </w:t>
        </w:r>
        <w:r w:rsidR="00D01021" w:rsidRPr="00D01021">
          <w:rPr>
            <w:sz w:val="20"/>
          </w:rPr>
          <w:t xml:space="preserve">compliance mechanisms </w:t>
        </w:r>
        <w:r w:rsidR="00D01021">
          <w:t xml:space="preserve">           </w:t>
        </w:r>
        <w:r w:rsidR="00CE4863">
          <w:t xml:space="preserve">                                                                                                   </w:t>
        </w:r>
        <w:r w:rsidR="00D01021">
          <w:t xml:space="preserve"> </w:t>
        </w:r>
        <w:fldSimple w:instr=" PAGE   \* MERGEFORMAT ">
          <w:r w:rsidR="00CE4863">
            <w:rPr>
              <w:noProof/>
            </w:rPr>
            <w:t>4</w:t>
          </w:r>
        </w:fldSimple>
        <w:r w:rsidR="00D01021">
          <w:t xml:space="preserve"> | </w:t>
        </w:r>
        <w:r w:rsidR="00D01021">
          <w:rPr>
            <w:color w:val="7F7F7F" w:themeColor="background1" w:themeShade="7F"/>
            <w:spacing w:val="60"/>
          </w:rPr>
          <w:t>Page</w:t>
        </w:r>
      </w:p>
    </w:sdtContent>
  </w:sdt>
  <w:p w:rsidR="00D01021" w:rsidRDefault="00D010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1D2" w:rsidRDefault="000521D2">
      <w:r>
        <w:separator/>
      </w:r>
    </w:p>
  </w:footnote>
  <w:footnote w:type="continuationSeparator" w:id="0">
    <w:p w:rsidR="000521D2" w:rsidRDefault="000521D2">
      <w:r>
        <w:continuationSeparator/>
      </w:r>
    </w:p>
  </w:footnote>
  <w:footnote w:id="1">
    <w:p w:rsidR="005C2E65" w:rsidRDefault="005C2E65" w:rsidP="005C2E65">
      <w:pPr>
        <w:pStyle w:val="FootnoteText"/>
      </w:pPr>
      <w:r>
        <w:rPr>
          <w:rStyle w:val="FootnoteReference"/>
        </w:rPr>
        <w:footnoteRef/>
      </w:r>
      <w:r>
        <w:t xml:space="preserve"> ARB Scoping Plan p. 46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3F9" w:rsidRDefault="00554F43">
    <w:pPr>
      <w:pStyle w:val="Header"/>
      <w:tabs>
        <w:tab w:val="clear" w:pos="4320"/>
        <w:tab w:val="clear" w:pos="8640"/>
        <w:tab w:val="right" w:pos="3510"/>
      </w:tabs>
      <w:ind w:right="5040"/>
      <w:rPr>
        <w:sz w:val="16"/>
      </w:rPr>
    </w:pPr>
    <w:r>
      <w:rPr>
        <w:noProof/>
      </w:rPr>
      <w:drawing>
        <wp:inline distT="0" distB="0" distL="0" distR="0">
          <wp:extent cx="1733550" cy="952500"/>
          <wp:effectExtent l="19050" t="0" r="0" b="0"/>
          <wp:docPr id="1" name="Picture 1" descr="uilmc2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lmc2p"/>
                  <pic:cNvPicPr>
                    <a:picLocks noChangeAspect="1" noChangeArrowheads="1"/>
                  </pic:cNvPicPr>
                </pic:nvPicPr>
                <pic:blipFill>
                  <a:blip r:embed="rId1"/>
                  <a:srcRect/>
                  <a:stretch>
                    <a:fillRect/>
                  </a:stretch>
                </pic:blipFill>
                <pic:spPr bwMode="auto">
                  <a:xfrm>
                    <a:off x="0" y="0"/>
                    <a:ext cx="1733550" cy="9525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2CF30"/>
    <w:multiLevelType w:val="hybridMultilevel"/>
    <w:tmpl w:val="0ABBE7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B691A13"/>
    <w:multiLevelType w:val="singleLevel"/>
    <w:tmpl w:val="3576448C"/>
    <w:lvl w:ilvl="0">
      <w:numFmt w:val="bullet"/>
      <w:lvlText w:val=""/>
      <w:lvlJc w:val="left"/>
      <w:pPr>
        <w:tabs>
          <w:tab w:val="num" w:pos="360"/>
        </w:tabs>
        <w:ind w:left="72" w:hanging="72"/>
      </w:pPr>
      <w:rPr>
        <w:rFonts w:ascii="Symbol" w:hAnsi="Symbol" w:hint="default"/>
      </w:rPr>
    </w:lvl>
  </w:abstractNum>
  <w:abstractNum w:abstractNumId="2">
    <w:nsid w:val="2C61411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35C03962"/>
    <w:multiLevelType w:val="singleLevel"/>
    <w:tmpl w:val="256C175A"/>
    <w:lvl w:ilvl="0">
      <w:start w:val="1"/>
      <w:numFmt w:val="bullet"/>
      <w:lvlText w:val=""/>
      <w:lvlJc w:val="left"/>
      <w:pPr>
        <w:tabs>
          <w:tab w:val="num" w:pos="360"/>
        </w:tabs>
        <w:ind w:left="360" w:hanging="360"/>
      </w:pPr>
      <w:rPr>
        <w:rFonts w:ascii="Monotype Sorts" w:hAnsi="Map Symbols" w:hint="default"/>
      </w:rPr>
    </w:lvl>
  </w:abstractNum>
  <w:abstractNum w:abstractNumId="4">
    <w:nsid w:val="41C3252B"/>
    <w:multiLevelType w:val="multilevel"/>
    <w:tmpl w:val="4A48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900AE5"/>
    <w:multiLevelType w:val="hybridMultilevel"/>
    <w:tmpl w:val="B69AE0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00F73"/>
    <w:multiLevelType w:val="hybridMultilevel"/>
    <w:tmpl w:val="302A2518"/>
    <w:lvl w:ilvl="0" w:tplc="04090015">
      <w:start w:val="17"/>
      <w:numFmt w:val="upperLetter"/>
      <w:lvlText w:val="%1."/>
      <w:lvlJc w:val="left"/>
      <w:pPr>
        <w:tabs>
          <w:tab w:val="num" w:pos="720"/>
        </w:tabs>
        <w:ind w:left="720" w:hanging="360"/>
      </w:pPr>
      <w:rPr>
        <w:rFonts w:hint="default"/>
      </w:rPr>
    </w:lvl>
    <w:lvl w:ilvl="1" w:tplc="94086A92">
      <w:start w:val="17"/>
      <w:numFmt w:val="upperLetter"/>
      <w:lvlText w:val="%2&gt;"/>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501FCE"/>
    <w:multiLevelType w:val="singleLevel"/>
    <w:tmpl w:val="F32A5752"/>
    <w:lvl w:ilvl="0">
      <w:start w:val="1"/>
      <w:numFmt w:val="bullet"/>
      <w:lvlText w:val=""/>
      <w:lvlJc w:val="left"/>
      <w:pPr>
        <w:tabs>
          <w:tab w:val="num" w:pos="360"/>
        </w:tabs>
        <w:ind w:left="360" w:hanging="360"/>
      </w:pPr>
      <w:rPr>
        <w:rFonts w:ascii="Symbol" w:hAnsi="Symbol" w:hint="default"/>
      </w:rPr>
    </w:lvl>
  </w:abstractNum>
  <w:abstractNum w:abstractNumId="8">
    <w:nsid w:val="5EC4531E"/>
    <w:multiLevelType w:val="hybridMultilevel"/>
    <w:tmpl w:val="C7D00E78"/>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7F7F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nsid w:val="7CDB2B3D"/>
    <w:multiLevelType w:val="singleLevel"/>
    <w:tmpl w:val="F32A575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2"/>
  </w:num>
  <w:num w:numId="3">
    <w:abstractNumId w:val="10"/>
  </w:num>
  <w:num w:numId="4">
    <w:abstractNumId w:val="7"/>
  </w:num>
  <w:num w:numId="5">
    <w:abstractNumId w:val="3"/>
  </w:num>
  <w:num w:numId="6">
    <w:abstractNumId w:val="1"/>
  </w:num>
  <w:num w:numId="7">
    <w:abstractNumId w:val="4"/>
  </w:num>
  <w:num w:numId="8">
    <w:abstractNumId w:val="6"/>
  </w:num>
  <w:num w:numId="9">
    <w:abstractNumId w:val="8"/>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ocumentProtection w:edit="readOnly" w:enforcement="1" w:cryptProviderType="rsaFull" w:cryptAlgorithmClass="hash" w:cryptAlgorithmType="typeAny" w:cryptAlgorithmSid="4" w:cryptSpinCount="100000" w:hash="K4yOeuwk+nK+xRH1P++lywFZzA0=" w:salt="ct0pyCTNLvEt1934NuFq8A=="/>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EC6F15"/>
    <w:rsid w:val="000521D2"/>
    <w:rsid w:val="000C3D11"/>
    <w:rsid w:val="00200845"/>
    <w:rsid w:val="00200F54"/>
    <w:rsid w:val="00204A8C"/>
    <w:rsid w:val="00281168"/>
    <w:rsid w:val="00294F9B"/>
    <w:rsid w:val="002E11F9"/>
    <w:rsid w:val="002E4943"/>
    <w:rsid w:val="002E6CF4"/>
    <w:rsid w:val="00314BB6"/>
    <w:rsid w:val="00326C0E"/>
    <w:rsid w:val="00343408"/>
    <w:rsid w:val="003B28A0"/>
    <w:rsid w:val="003C0D9E"/>
    <w:rsid w:val="003C598E"/>
    <w:rsid w:val="003F0250"/>
    <w:rsid w:val="004152C8"/>
    <w:rsid w:val="004A09F5"/>
    <w:rsid w:val="004A59A2"/>
    <w:rsid w:val="00541864"/>
    <w:rsid w:val="00554F43"/>
    <w:rsid w:val="005743F9"/>
    <w:rsid w:val="005A1262"/>
    <w:rsid w:val="005B063E"/>
    <w:rsid w:val="005C2E65"/>
    <w:rsid w:val="0060189D"/>
    <w:rsid w:val="00614EB4"/>
    <w:rsid w:val="00643705"/>
    <w:rsid w:val="00652596"/>
    <w:rsid w:val="006C23FC"/>
    <w:rsid w:val="006E34A0"/>
    <w:rsid w:val="00780590"/>
    <w:rsid w:val="00783AB1"/>
    <w:rsid w:val="007D533E"/>
    <w:rsid w:val="007E5414"/>
    <w:rsid w:val="0084130C"/>
    <w:rsid w:val="008D306F"/>
    <w:rsid w:val="008D7C50"/>
    <w:rsid w:val="008E5C96"/>
    <w:rsid w:val="009224D2"/>
    <w:rsid w:val="00975310"/>
    <w:rsid w:val="009837E4"/>
    <w:rsid w:val="009E2AA5"/>
    <w:rsid w:val="00A40DF3"/>
    <w:rsid w:val="00A54F98"/>
    <w:rsid w:val="00A73028"/>
    <w:rsid w:val="00A85D13"/>
    <w:rsid w:val="00A861A1"/>
    <w:rsid w:val="00B17C8F"/>
    <w:rsid w:val="00BC0637"/>
    <w:rsid w:val="00BC2FD0"/>
    <w:rsid w:val="00BC3AAC"/>
    <w:rsid w:val="00C02A4E"/>
    <w:rsid w:val="00C27900"/>
    <w:rsid w:val="00C639D4"/>
    <w:rsid w:val="00CC013B"/>
    <w:rsid w:val="00CE4863"/>
    <w:rsid w:val="00D01021"/>
    <w:rsid w:val="00D22D39"/>
    <w:rsid w:val="00D61230"/>
    <w:rsid w:val="00D90F5A"/>
    <w:rsid w:val="00D9341F"/>
    <w:rsid w:val="00DA11CD"/>
    <w:rsid w:val="00DC61D1"/>
    <w:rsid w:val="00E15510"/>
    <w:rsid w:val="00E2564D"/>
    <w:rsid w:val="00E27A4D"/>
    <w:rsid w:val="00E344D3"/>
    <w:rsid w:val="00E81A49"/>
    <w:rsid w:val="00EC1836"/>
    <w:rsid w:val="00EC6F15"/>
    <w:rsid w:val="00EE393B"/>
    <w:rsid w:val="00EF1698"/>
    <w:rsid w:val="00F35241"/>
    <w:rsid w:val="00F63080"/>
    <w:rsid w:val="00F910A5"/>
    <w:rsid w:val="00FA211A"/>
    <w:rsid w:val="00FA2162"/>
    <w:rsid w:val="00FE06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0A5"/>
    <w:rPr>
      <w:sz w:val="24"/>
    </w:rPr>
  </w:style>
  <w:style w:type="paragraph" w:styleId="Heading1">
    <w:name w:val="heading 1"/>
    <w:basedOn w:val="Normal"/>
    <w:next w:val="Normal"/>
    <w:qFormat/>
    <w:rsid w:val="00F910A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910A5"/>
    <w:pPr>
      <w:keepNext/>
      <w:outlineLvl w:val="1"/>
    </w:pPr>
    <w:rPr>
      <w:sz w:val="28"/>
      <w:u w:val="single"/>
    </w:rPr>
  </w:style>
  <w:style w:type="paragraph" w:styleId="Heading3">
    <w:name w:val="heading 3"/>
    <w:basedOn w:val="Normal"/>
    <w:next w:val="Normal"/>
    <w:qFormat/>
    <w:rsid w:val="00F910A5"/>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910A5"/>
    <w:pPr>
      <w:framePr w:w="7920" w:h="1980" w:hRule="exact" w:hSpace="180" w:wrap="auto" w:hAnchor="page" w:xAlign="center" w:yAlign="bottom"/>
      <w:ind w:left="2880"/>
    </w:pPr>
  </w:style>
  <w:style w:type="paragraph" w:styleId="EnvelopeReturn">
    <w:name w:val="envelope return"/>
    <w:basedOn w:val="Normal"/>
    <w:rsid w:val="00F910A5"/>
    <w:rPr>
      <w:sz w:val="20"/>
    </w:rPr>
  </w:style>
  <w:style w:type="paragraph" w:styleId="BodyText">
    <w:name w:val="Body Text"/>
    <w:basedOn w:val="Normal"/>
    <w:rsid w:val="00F910A5"/>
    <w:rPr>
      <w:sz w:val="28"/>
    </w:rPr>
  </w:style>
  <w:style w:type="paragraph" w:styleId="Header">
    <w:name w:val="header"/>
    <w:basedOn w:val="Normal"/>
    <w:rsid w:val="00F910A5"/>
    <w:pPr>
      <w:tabs>
        <w:tab w:val="center" w:pos="4320"/>
        <w:tab w:val="right" w:pos="8640"/>
      </w:tabs>
    </w:pPr>
  </w:style>
  <w:style w:type="paragraph" w:styleId="Footer">
    <w:name w:val="footer"/>
    <w:basedOn w:val="Normal"/>
    <w:link w:val="FooterChar"/>
    <w:uiPriority w:val="99"/>
    <w:rsid w:val="00F910A5"/>
    <w:pPr>
      <w:tabs>
        <w:tab w:val="center" w:pos="4320"/>
        <w:tab w:val="right" w:pos="8640"/>
      </w:tabs>
    </w:pPr>
  </w:style>
  <w:style w:type="character" w:customStyle="1" w:styleId="italic1">
    <w:name w:val="italic1"/>
    <w:basedOn w:val="DefaultParagraphFont"/>
    <w:rsid w:val="00DC61D1"/>
    <w:rPr>
      <w:i/>
      <w:iCs/>
    </w:rPr>
  </w:style>
  <w:style w:type="paragraph" w:styleId="PlainText">
    <w:name w:val="Plain Text"/>
    <w:basedOn w:val="Normal"/>
    <w:link w:val="PlainTextChar"/>
    <w:uiPriority w:val="99"/>
    <w:rsid w:val="009837E4"/>
    <w:rPr>
      <w:rFonts w:ascii="Courier New" w:hAnsi="Courier New" w:cs="Courier New"/>
      <w:sz w:val="20"/>
    </w:rPr>
  </w:style>
  <w:style w:type="character" w:customStyle="1" w:styleId="PlainTextChar">
    <w:name w:val="Plain Text Char"/>
    <w:basedOn w:val="DefaultParagraphFont"/>
    <w:link w:val="PlainText"/>
    <w:uiPriority w:val="99"/>
    <w:rsid w:val="009837E4"/>
    <w:rPr>
      <w:rFonts w:ascii="Courier New" w:hAnsi="Courier New" w:cs="Courier New"/>
    </w:rPr>
  </w:style>
  <w:style w:type="paragraph" w:styleId="Revision">
    <w:name w:val="Revision"/>
    <w:hidden/>
    <w:uiPriority w:val="99"/>
    <w:semiHidden/>
    <w:rsid w:val="004A59A2"/>
    <w:rPr>
      <w:sz w:val="24"/>
    </w:rPr>
  </w:style>
  <w:style w:type="paragraph" w:styleId="BalloonText">
    <w:name w:val="Balloon Text"/>
    <w:basedOn w:val="Normal"/>
    <w:link w:val="BalloonTextChar"/>
    <w:rsid w:val="004A59A2"/>
    <w:rPr>
      <w:rFonts w:ascii="Tahoma" w:hAnsi="Tahoma" w:cs="Tahoma"/>
      <w:sz w:val="16"/>
      <w:szCs w:val="16"/>
    </w:rPr>
  </w:style>
  <w:style w:type="character" w:customStyle="1" w:styleId="BalloonTextChar">
    <w:name w:val="Balloon Text Char"/>
    <w:basedOn w:val="DefaultParagraphFont"/>
    <w:link w:val="BalloonText"/>
    <w:rsid w:val="004A59A2"/>
    <w:rPr>
      <w:rFonts w:ascii="Tahoma" w:hAnsi="Tahoma" w:cs="Tahoma"/>
      <w:sz w:val="16"/>
      <w:szCs w:val="16"/>
    </w:rPr>
  </w:style>
  <w:style w:type="paragraph" w:customStyle="1" w:styleId="Default">
    <w:name w:val="Default"/>
    <w:basedOn w:val="Normal"/>
    <w:rsid w:val="00A85D13"/>
    <w:pPr>
      <w:autoSpaceDE w:val="0"/>
      <w:autoSpaceDN w:val="0"/>
    </w:pPr>
    <w:rPr>
      <w:rFonts w:ascii="HHLEN N+ Melior" w:eastAsia="Calibri" w:hAnsi="HHLEN N+ Melior"/>
      <w:color w:val="000000"/>
      <w:szCs w:val="24"/>
    </w:rPr>
  </w:style>
  <w:style w:type="character" w:customStyle="1" w:styleId="FooterChar">
    <w:name w:val="Footer Char"/>
    <w:basedOn w:val="DefaultParagraphFont"/>
    <w:link w:val="Footer"/>
    <w:uiPriority w:val="99"/>
    <w:rsid w:val="00D01021"/>
    <w:rPr>
      <w:sz w:val="24"/>
    </w:rPr>
  </w:style>
  <w:style w:type="paragraph" w:styleId="FootnoteText">
    <w:name w:val="footnote text"/>
    <w:basedOn w:val="Normal"/>
    <w:link w:val="FootnoteTextChar"/>
    <w:rsid w:val="005C2E65"/>
    <w:rPr>
      <w:sz w:val="20"/>
    </w:rPr>
  </w:style>
  <w:style w:type="character" w:customStyle="1" w:styleId="FootnoteTextChar">
    <w:name w:val="Footnote Text Char"/>
    <w:basedOn w:val="DefaultParagraphFont"/>
    <w:link w:val="FootnoteText"/>
    <w:rsid w:val="005C2E65"/>
  </w:style>
  <w:style w:type="character" w:styleId="FootnoteReference">
    <w:name w:val="footnote reference"/>
    <w:basedOn w:val="DefaultParagraphFont"/>
    <w:rsid w:val="005C2E65"/>
    <w:rPr>
      <w:vertAlign w:val="superscript"/>
    </w:rPr>
  </w:style>
</w:styles>
</file>

<file path=word/webSettings.xml><?xml version="1.0" encoding="utf-8"?>
<w:webSettings xmlns:r="http://schemas.openxmlformats.org/officeDocument/2006/relationships" xmlns:w="http://schemas.openxmlformats.org/wordprocessingml/2006/main">
  <w:divs>
    <w:div w:id="211618347">
      <w:bodyDiv w:val="1"/>
      <w:marLeft w:val="0"/>
      <w:marRight w:val="0"/>
      <w:marTop w:val="0"/>
      <w:marBottom w:val="0"/>
      <w:divBdr>
        <w:top w:val="none" w:sz="0" w:space="0" w:color="auto"/>
        <w:left w:val="none" w:sz="0" w:space="0" w:color="auto"/>
        <w:bottom w:val="none" w:sz="0" w:space="0" w:color="auto"/>
        <w:right w:val="none" w:sz="0" w:space="0" w:color="auto"/>
      </w:divBdr>
    </w:div>
    <w:div w:id="329986095">
      <w:bodyDiv w:val="1"/>
      <w:marLeft w:val="0"/>
      <w:marRight w:val="0"/>
      <w:marTop w:val="0"/>
      <w:marBottom w:val="0"/>
      <w:divBdr>
        <w:top w:val="none" w:sz="0" w:space="0" w:color="auto"/>
        <w:left w:val="none" w:sz="0" w:space="0" w:color="auto"/>
        <w:bottom w:val="none" w:sz="0" w:space="0" w:color="auto"/>
        <w:right w:val="none" w:sz="0" w:space="0" w:color="auto"/>
      </w:divBdr>
    </w:div>
    <w:div w:id="419840213">
      <w:bodyDiv w:val="1"/>
      <w:marLeft w:val="0"/>
      <w:marRight w:val="0"/>
      <w:marTop w:val="0"/>
      <w:marBottom w:val="0"/>
      <w:divBdr>
        <w:top w:val="none" w:sz="0" w:space="0" w:color="auto"/>
        <w:left w:val="none" w:sz="0" w:space="0" w:color="auto"/>
        <w:bottom w:val="none" w:sz="0" w:space="0" w:color="auto"/>
        <w:right w:val="none" w:sz="0" w:space="0" w:color="auto"/>
      </w:divBdr>
    </w:div>
    <w:div w:id="497113227">
      <w:bodyDiv w:val="1"/>
      <w:marLeft w:val="0"/>
      <w:marRight w:val="0"/>
      <w:marTop w:val="0"/>
      <w:marBottom w:val="0"/>
      <w:divBdr>
        <w:top w:val="none" w:sz="0" w:space="0" w:color="auto"/>
        <w:left w:val="none" w:sz="0" w:space="0" w:color="auto"/>
        <w:bottom w:val="none" w:sz="0" w:space="0" w:color="auto"/>
        <w:right w:val="none" w:sz="0" w:space="0" w:color="auto"/>
      </w:divBdr>
    </w:div>
    <w:div w:id="588392850">
      <w:bodyDiv w:val="1"/>
      <w:marLeft w:val="0"/>
      <w:marRight w:val="0"/>
      <w:marTop w:val="0"/>
      <w:marBottom w:val="0"/>
      <w:divBdr>
        <w:top w:val="none" w:sz="0" w:space="0" w:color="auto"/>
        <w:left w:val="none" w:sz="0" w:space="0" w:color="auto"/>
        <w:bottom w:val="none" w:sz="0" w:space="0" w:color="auto"/>
        <w:right w:val="none" w:sz="0" w:space="0" w:color="auto"/>
      </w:divBdr>
    </w:div>
    <w:div w:id="845632871">
      <w:bodyDiv w:val="1"/>
      <w:marLeft w:val="0"/>
      <w:marRight w:val="0"/>
      <w:marTop w:val="0"/>
      <w:marBottom w:val="0"/>
      <w:divBdr>
        <w:top w:val="none" w:sz="0" w:space="0" w:color="auto"/>
        <w:left w:val="none" w:sz="0" w:space="0" w:color="auto"/>
        <w:bottom w:val="none" w:sz="0" w:space="0" w:color="auto"/>
        <w:right w:val="none" w:sz="0" w:space="0" w:color="auto"/>
      </w:divBdr>
    </w:div>
    <w:div w:id="1257904766">
      <w:bodyDiv w:val="1"/>
      <w:marLeft w:val="0"/>
      <w:marRight w:val="0"/>
      <w:marTop w:val="0"/>
      <w:marBottom w:val="0"/>
      <w:divBdr>
        <w:top w:val="none" w:sz="0" w:space="0" w:color="auto"/>
        <w:left w:val="none" w:sz="0" w:space="0" w:color="auto"/>
        <w:bottom w:val="none" w:sz="0" w:space="0" w:color="auto"/>
        <w:right w:val="none" w:sz="0" w:space="0" w:color="auto"/>
      </w:divBdr>
      <w:divsChild>
        <w:div w:id="1205869355">
          <w:marLeft w:val="0"/>
          <w:marRight w:val="0"/>
          <w:marTop w:val="0"/>
          <w:marBottom w:val="0"/>
          <w:divBdr>
            <w:top w:val="none" w:sz="0" w:space="0" w:color="auto"/>
            <w:left w:val="none" w:sz="0" w:space="0" w:color="auto"/>
            <w:bottom w:val="none" w:sz="0" w:space="0" w:color="auto"/>
            <w:right w:val="none" w:sz="0" w:space="0" w:color="auto"/>
          </w:divBdr>
          <w:divsChild>
            <w:div w:id="524447020">
              <w:marLeft w:val="0"/>
              <w:marRight w:val="0"/>
              <w:marTop w:val="0"/>
              <w:marBottom w:val="0"/>
              <w:divBdr>
                <w:top w:val="none" w:sz="0" w:space="0" w:color="auto"/>
                <w:left w:val="none" w:sz="0" w:space="0" w:color="auto"/>
                <w:bottom w:val="none" w:sz="0" w:space="0" w:color="auto"/>
                <w:right w:val="none" w:sz="0" w:space="0" w:color="auto"/>
              </w:divBdr>
              <w:divsChild>
                <w:div w:id="272250908">
                  <w:marLeft w:val="0"/>
                  <w:marRight w:val="0"/>
                  <w:marTop w:val="0"/>
                  <w:marBottom w:val="0"/>
                  <w:divBdr>
                    <w:top w:val="none" w:sz="0" w:space="0" w:color="auto"/>
                    <w:left w:val="none" w:sz="0" w:space="0" w:color="auto"/>
                    <w:bottom w:val="none" w:sz="0" w:space="0" w:color="auto"/>
                    <w:right w:val="none" w:sz="0" w:space="0" w:color="auto"/>
                  </w:divBdr>
                  <w:divsChild>
                    <w:div w:id="2546352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81587645">
      <w:bodyDiv w:val="1"/>
      <w:marLeft w:val="0"/>
      <w:marRight w:val="0"/>
      <w:marTop w:val="0"/>
      <w:marBottom w:val="0"/>
      <w:divBdr>
        <w:top w:val="none" w:sz="0" w:space="0" w:color="auto"/>
        <w:left w:val="none" w:sz="0" w:space="0" w:color="auto"/>
        <w:bottom w:val="none" w:sz="0" w:space="0" w:color="auto"/>
        <w:right w:val="none" w:sz="0" w:space="0" w:color="auto"/>
      </w:divBdr>
      <w:divsChild>
        <w:div w:id="779227523">
          <w:marLeft w:val="0"/>
          <w:marRight w:val="0"/>
          <w:marTop w:val="0"/>
          <w:marBottom w:val="0"/>
          <w:divBdr>
            <w:top w:val="none" w:sz="0" w:space="0" w:color="auto"/>
            <w:left w:val="none" w:sz="0" w:space="0" w:color="auto"/>
            <w:bottom w:val="none" w:sz="0" w:space="0" w:color="auto"/>
            <w:right w:val="none" w:sz="0" w:space="0" w:color="auto"/>
          </w:divBdr>
          <w:divsChild>
            <w:div w:id="2029789981">
              <w:marLeft w:val="0"/>
              <w:marRight w:val="0"/>
              <w:marTop w:val="0"/>
              <w:marBottom w:val="0"/>
              <w:divBdr>
                <w:top w:val="none" w:sz="0" w:space="0" w:color="auto"/>
                <w:left w:val="none" w:sz="0" w:space="0" w:color="auto"/>
                <w:bottom w:val="none" w:sz="0" w:space="0" w:color="auto"/>
                <w:right w:val="none" w:sz="0" w:space="0" w:color="auto"/>
              </w:divBdr>
              <w:divsChild>
                <w:div w:id="2050033044">
                  <w:marLeft w:val="0"/>
                  <w:marRight w:val="0"/>
                  <w:marTop w:val="0"/>
                  <w:marBottom w:val="0"/>
                  <w:divBdr>
                    <w:top w:val="none" w:sz="0" w:space="0" w:color="auto"/>
                    <w:left w:val="none" w:sz="0" w:space="0" w:color="auto"/>
                    <w:bottom w:val="none" w:sz="0" w:space="0" w:color="auto"/>
                    <w:right w:val="none" w:sz="0" w:space="0" w:color="auto"/>
                  </w:divBdr>
                  <w:divsChild>
                    <w:div w:id="8561642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69918308">
      <w:bodyDiv w:val="1"/>
      <w:marLeft w:val="0"/>
      <w:marRight w:val="0"/>
      <w:marTop w:val="0"/>
      <w:marBottom w:val="0"/>
      <w:divBdr>
        <w:top w:val="none" w:sz="0" w:space="0" w:color="auto"/>
        <w:left w:val="none" w:sz="0" w:space="0" w:color="auto"/>
        <w:bottom w:val="none" w:sz="0" w:space="0" w:color="auto"/>
        <w:right w:val="none" w:sz="0" w:space="0" w:color="auto"/>
      </w:divBdr>
    </w:div>
    <w:div w:id="1636253654">
      <w:bodyDiv w:val="1"/>
      <w:marLeft w:val="0"/>
      <w:marRight w:val="0"/>
      <w:marTop w:val="0"/>
      <w:marBottom w:val="0"/>
      <w:divBdr>
        <w:top w:val="none" w:sz="0" w:space="0" w:color="auto"/>
        <w:left w:val="none" w:sz="0" w:space="0" w:color="auto"/>
        <w:bottom w:val="none" w:sz="0" w:space="0" w:color="auto"/>
        <w:right w:val="none" w:sz="0" w:space="0" w:color="auto"/>
      </w:divBdr>
      <w:divsChild>
        <w:div w:id="33969529">
          <w:marLeft w:val="0"/>
          <w:marRight w:val="0"/>
          <w:marTop w:val="0"/>
          <w:marBottom w:val="0"/>
          <w:divBdr>
            <w:top w:val="none" w:sz="0" w:space="0" w:color="auto"/>
            <w:left w:val="none" w:sz="0" w:space="0" w:color="auto"/>
            <w:bottom w:val="none" w:sz="0" w:space="0" w:color="auto"/>
            <w:right w:val="none" w:sz="0" w:space="0" w:color="auto"/>
          </w:divBdr>
        </w:div>
        <w:div w:id="69036780">
          <w:marLeft w:val="0"/>
          <w:marRight w:val="0"/>
          <w:marTop w:val="0"/>
          <w:marBottom w:val="0"/>
          <w:divBdr>
            <w:top w:val="none" w:sz="0" w:space="0" w:color="auto"/>
            <w:left w:val="none" w:sz="0" w:space="0" w:color="auto"/>
            <w:bottom w:val="none" w:sz="0" w:space="0" w:color="auto"/>
            <w:right w:val="none" w:sz="0" w:space="0" w:color="auto"/>
          </w:divBdr>
        </w:div>
        <w:div w:id="358238568">
          <w:marLeft w:val="0"/>
          <w:marRight w:val="0"/>
          <w:marTop w:val="0"/>
          <w:marBottom w:val="0"/>
          <w:divBdr>
            <w:top w:val="none" w:sz="0" w:space="0" w:color="auto"/>
            <w:left w:val="none" w:sz="0" w:space="0" w:color="auto"/>
            <w:bottom w:val="none" w:sz="0" w:space="0" w:color="auto"/>
            <w:right w:val="none" w:sz="0" w:space="0" w:color="auto"/>
          </w:divBdr>
        </w:div>
        <w:div w:id="390276111">
          <w:marLeft w:val="0"/>
          <w:marRight w:val="0"/>
          <w:marTop w:val="0"/>
          <w:marBottom w:val="0"/>
          <w:divBdr>
            <w:top w:val="none" w:sz="0" w:space="0" w:color="auto"/>
            <w:left w:val="none" w:sz="0" w:space="0" w:color="auto"/>
            <w:bottom w:val="none" w:sz="0" w:space="0" w:color="auto"/>
            <w:right w:val="none" w:sz="0" w:space="0" w:color="auto"/>
          </w:divBdr>
        </w:div>
        <w:div w:id="461461353">
          <w:marLeft w:val="0"/>
          <w:marRight w:val="0"/>
          <w:marTop w:val="0"/>
          <w:marBottom w:val="0"/>
          <w:divBdr>
            <w:top w:val="none" w:sz="0" w:space="0" w:color="auto"/>
            <w:left w:val="none" w:sz="0" w:space="0" w:color="auto"/>
            <w:bottom w:val="none" w:sz="0" w:space="0" w:color="auto"/>
            <w:right w:val="none" w:sz="0" w:space="0" w:color="auto"/>
          </w:divBdr>
        </w:div>
        <w:div w:id="596910975">
          <w:marLeft w:val="0"/>
          <w:marRight w:val="0"/>
          <w:marTop w:val="0"/>
          <w:marBottom w:val="0"/>
          <w:divBdr>
            <w:top w:val="none" w:sz="0" w:space="0" w:color="auto"/>
            <w:left w:val="none" w:sz="0" w:space="0" w:color="auto"/>
            <w:bottom w:val="none" w:sz="0" w:space="0" w:color="auto"/>
            <w:right w:val="none" w:sz="0" w:space="0" w:color="auto"/>
          </w:divBdr>
        </w:div>
        <w:div w:id="635452340">
          <w:marLeft w:val="0"/>
          <w:marRight w:val="0"/>
          <w:marTop w:val="0"/>
          <w:marBottom w:val="0"/>
          <w:divBdr>
            <w:top w:val="none" w:sz="0" w:space="0" w:color="auto"/>
            <w:left w:val="none" w:sz="0" w:space="0" w:color="auto"/>
            <w:bottom w:val="none" w:sz="0" w:space="0" w:color="auto"/>
            <w:right w:val="none" w:sz="0" w:space="0" w:color="auto"/>
          </w:divBdr>
        </w:div>
        <w:div w:id="946737935">
          <w:marLeft w:val="0"/>
          <w:marRight w:val="0"/>
          <w:marTop w:val="0"/>
          <w:marBottom w:val="0"/>
          <w:divBdr>
            <w:top w:val="none" w:sz="0" w:space="0" w:color="auto"/>
            <w:left w:val="none" w:sz="0" w:space="0" w:color="auto"/>
            <w:bottom w:val="none" w:sz="0" w:space="0" w:color="auto"/>
            <w:right w:val="none" w:sz="0" w:space="0" w:color="auto"/>
          </w:divBdr>
        </w:div>
        <w:div w:id="991757313">
          <w:marLeft w:val="0"/>
          <w:marRight w:val="0"/>
          <w:marTop w:val="0"/>
          <w:marBottom w:val="0"/>
          <w:divBdr>
            <w:top w:val="none" w:sz="0" w:space="0" w:color="auto"/>
            <w:left w:val="none" w:sz="0" w:space="0" w:color="auto"/>
            <w:bottom w:val="none" w:sz="0" w:space="0" w:color="auto"/>
            <w:right w:val="none" w:sz="0" w:space="0" w:color="auto"/>
          </w:divBdr>
        </w:div>
        <w:div w:id="1002512835">
          <w:marLeft w:val="0"/>
          <w:marRight w:val="0"/>
          <w:marTop w:val="0"/>
          <w:marBottom w:val="0"/>
          <w:divBdr>
            <w:top w:val="none" w:sz="0" w:space="0" w:color="auto"/>
            <w:left w:val="none" w:sz="0" w:space="0" w:color="auto"/>
            <w:bottom w:val="none" w:sz="0" w:space="0" w:color="auto"/>
            <w:right w:val="none" w:sz="0" w:space="0" w:color="auto"/>
          </w:divBdr>
        </w:div>
        <w:div w:id="1084575182">
          <w:marLeft w:val="0"/>
          <w:marRight w:val="0"/>
          <w:marTop w:val="0"/>
          <w:marBottom w:val="0"/>
          <w:divBdr>
            <w:top w:val="none" w:sz="0" w:space="0" w:color="auto"/>
            <w:left w:val="none" w:sz="0" w:space="0" w:color="auto"/>
            <w:bottom w:val="none" w:sz="0" w:space="0" w:color="auto"/>
            <w:right w:val="none" w:sz="0" w:space="0" w:color="auto"/>
          </w:divBdr>
        </w:div>
        <w:div w:id="1140344163">
          <w:marLeft w:val="0"/>
          <w:marRight w:val="0"/>
          <w:marTop w:val="0"/>
          <w:marBottom w:val="0"/>
          <w:divBdr>
            <w:top w:val="none" w:sz="0" w:space="0" w:color="auto"/>
            <w:left w:val="none" w:sz="0" w:space="0" w:color="auto"/>
            <w:bottom w:val="none" w:sz="0" w:space="0" w:color="auto"/>
            <w:right w:val="none" w:sz="0" w:space="0" w:color="auto"/>
          </w:divBdr>
        </w:div>
        <w:div w:id="1264455139">
          <w:marLeft w:val="0"/>
          <w:marRight w:val="0"/>
          <w:marTop w:val="0"/>
          <w:marBottom w:val="0"/>
          <w:divBdr>
            <w:top w:val="none" w:sz="0" w:space="0" w:color="auto"/>
            <w:left w:val="none" w:sz="0" w:space="0" w:color="auto"/>
            <w:bottom w:val="none" w:sz="0" w:space="0" w:color="auto"/>
            <w:right w:val="none" w:sz="0" w:space="0" w:color="auto"/>
          </w:divBdr>
        </w:div>
        <w:div w:id="1334842809">
          <w:marLeft w:val="0"/>
          <w:marRight w:val="0"/>
          <w:marTop w:val="0"/>
          <w:marBottom w:val="0"/>
          <w:divBdr>
            <w:top w:val="none" w:sz="0" w:space="0" w:color="auto"/>
            <w:left w:val="none" w:sz="0" w:space="0" w:color="auto"/>
            <w:bottom w:val="none" w:sz="0" w:space="0" w:color="auto"/>
            <w:right w:val="none" w:sz="0" w:space="0" w:color="auto"/>
          </w:divBdr>
        </w:div>
        <w:div w:id="1478571907">
          <w:marLeft w:val="0"/>
          <w:marRight w:val="0"/>
          <w:marTop w:val="0"/>
          <w:marBottom w:val="0"/>
          <w:divBdr>
            <w:top w:val="none" w:sz="0" w:space="0" w:color="auto"/>
            <w:left w:val="none" w:sz="0" w:space="0" w:color="auto"/>
            <w:bottom w:val="none" w:sz="0" w:space="0" w:color="auto"/>
            <w:right w:val="none" w:sz="0" w:space="0" w:color="auto"/>
          </w:divBdr>
        </w:div>
        <w:div w:id="1494636692">
          <w:marLeft w:val="0"/>
          <w:marRight w:val="0"/>
          <w:marTop w:val="0"/>
          <w:marBottom w:val="0"/>
          <w:divBdr>
            <w:top w:val="none" w:sz="0" w:space="0" w:color="auto"/>
            <w:left w:val="none" w:sz="0" w:space="0" w:color="auto"/>
            <w:bottom w:val="none" w:sz="0" w:space="0" w:color="auto"/>
            <w:right w:val="none" w:sz="0" w:space="0" w:color="auto"/>
          </w:divBdr>
        </w:div>
        <w:div w:id="1703825441">
          <w:marLeft w:val="0"/>
          <w:marRight w:val="0"/>
          <w:marTop w:val="0"/>
          <w:marBottom w:val="0"/>
          <w:divBdr>
            <w:top w:val="none" w:sz="0" w:space="0" w:color="auto"/>
            <w:left w:val="none" w:sz="0" w:space="0" w:color="auto"/>
            <w:bottom w:val="none" w:sz="0" w:space="0" w:color="auto"/>
            <w:right w:val="none" w:sz="0" w:space="0" w:color="auto"/>
          </w:divBdr>
        </w:div>
        <w:div w:id="2027515446">
          <w:marLeft w:val="0"/>
          <w:marRight w:val="0"/>
          <w:marTop w:val="0"/>
          <w:marBottom w:val="0"/>
          <w:divBdr>
            <w:top w:val="none" w:sz="0" w:space="0" w:color="auto"/>
            <w:left w:val="none" w:sz="0" w:space="0" w:color="auto"/>
            <w:bottom w:val="none" w:sz="0" w:space="0" w:color="auto"/>
            <w:right w:val="none" w:sz="0" w:space="0" w:color="auto"/>
          </w:divBdr>
        </w:div>
        <w:div w:id="2045444112">
          <w:marLeft w:val="0"/>
          <w:marRight w:val="0"/>
          <w:marTop w:val="0"/>
          <w:marBottom w:val="0"/>
          <w:divBdr>
            <w:top w:val="none" w:sz="0" w:space="0" w:color="auto"/>
            <w:left w:val="none" w:sz="0" w:space="0" w:color="auto"/>
            <w:bottom w:val="none" w:sz="0" w:space="0" w:color="auto"/>
            <w:right w:val="none" w:sz="0" w:space="0" w:color="auto"/>
          </w:divBdr>
        </w:div>
        <w:div w:id="2107188698">
          <w:marLeft w:val="0"/>
          <w:marRight w:val="0"/>
          <w:marTop w:val="0"/>
          <w:marBottom w:val="0"/>
          <w:divBdr>
            <w:top w:val="none" w:sz="0" w:space="0" w:color="auto"/>
            <w:left w:val="none" w:sz="0" w:space="0" w:color="auto"/>
            <w:bottom w:val="none" w:sz="0" w:space="0" w:color="auto"/>
            <w:right w:val="none" w:sz="0" w:space="0" w:color="auto"/>
          </w:divBdr>
        </w:div>
      </w:divsChild>
    </w:div>
    <w:div w:id="1731346159">
      <w:bodyDiv w:val="1"/>
      <w:marLeft w:val="0"/>
      <w:marRight w:val="0"/>
      <w:marTop w:val="0"/>
      <w:marBottom w:val="0"/>
      <w:divBdr>
        <w:top w:val="none" w:sz="0" w:space="0" w:color="auto"/>
        <w:left w:val="none" w:sz="0" w:space="0" w:color="auto"/>
        <w:bottom w:val="none" w:sz="0" w:space="0" w:color="auto"/>
        <w:right w:val="none" w:sz="0" w:space="0" w:color="auto"/>
      </w:divBdr>
    </w:div>
    <w:div w:id="1778793403">
      <w:bodyDiv w:val="1"/>
      <w:marLeft w:val="0"/>
      <w:marRight w:val="0"/>
      <w:marTop w:val="0"/>
      <w:marBottom w:val="0"/>
      <w:divBdr>
        <w:top w:val="none" w:sz="0" w:space="0" w:color="auto"/>
        <w:left w:val="none" w:sz="0" w:space="0" w:color="auto"/>
        <w:bottom w:val="none" w:sz="0" w:space="0" w:color="auto"/>
        <w:right w:val="none" w:sz="0" w:space="0" w:color="auto"/>
      </w:divBdr>
    </w:div>
    <w:div w:id="1878809048">
      <w:bodyDiv w:val="1"/>
      <w:marLeft w:val="0"/>
      <w:marRight w:val="0"/>
      <w:marTop w:val="0"/>
      <w:marBottom w:val="0"/>
      <w:divBdr>
        <w:top w:val="none" w:sz="0" w:space="0" w:color="auto"/>
        <w:left w:val="none" w:sz="0" w:space="0" w:color="auto"/>
        <w:bottom w:val="none" w:sz="0" w:space="0" w:color="auto"/>
        <w:right w:val="none" w:sz="0" w:space="0" w:color="auto"/>
      </w:divBdr>
    </w:div>
    <w:div w:id="202513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9CDCD-88D3-4DC3-AAFE-784E51DB0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1680</Words>
  <Characters>9578</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TO:</vt:lpstr>
    </vt:vector>
  </TitlesOfParts>
  <Company>Sempra</Company>
  <LinksUpToDate>false</LinksUpToDate>
  <CharactersWithSpaces>11236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Sempra Energy</dc:creator>
  <cp:keywords/>
  <dc:description/>
  <cp:lastModifiedBy>Jones Reed, Debran</cp:lastModifiedBy>
  <cp:revision>2</cp:revision>
  <cp:lastPrinted>2011-09-15T23:00:00Z</cp:lastPrinted>
  <dcterms:created xsi:type="dcterms:W3CDTF">2011-09-27T21:27:00Z</dcterms:created>
  <dcterms:modified xsi:type="dcterms:W3CDTF">2011-09-27T21:27:00Z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cDAAJcJyl2HFBRpCuLXxOduzljXZEfEP5EPOwPHUVsLf+LXBaK+10aFulJeodT/I/LeauZP0YzrqVJKY_x000d_
t0SswIUnHj2/ck9UOWTL864EX1/S+rHRW2FxXV6OnY9YmGtnBaKvqlunuglhghItlpGvI4WtTuG1_x000d_
kiLrRin7PDco//pZiga12IMA4pXl7+t4Se++dylU2cbH5eh1x+V2aseA2L1D0Q==</vt:lpwstr>
  </property>
  <property fmtid="{D5CDD505-2E9C-101B-9397-08002B2CF9AE}" pid="3" name="RESPONSE_SENDER_NAME">
    <vt:lpwstr>sAAAE9kkUq3pEoJFtTOzqVUECQMcoceP/GIG8HWAHZ8rO7I=</vt:lpwstr>
  </property>
  <property fmtid="{D5CDD505-2E9C-101B-9397-08002B2CF9AE}" pid="4" name="EMAIL_OWNER_ADDRESS">
    <vt:lpwstr>ABAAmJ+7jnJ2eOWQzQWIAT2SIh/QpaDvDAeCzcuCtEx3ZioYnMJ0LxspkYdZArC1+7jD</vt:lpwstr>
  </property>
  <property fmtid="{D5CDD505-2E9C-101B-9397-08002B2CF9AE}" pid="5" name="VirtualVersion">
    <vt:lpwstr/>
  </property>
  <property fmtid="{D5CDD505-2E9C-101B-9397-08002B2CF9AE}" pid="6" name="VirtualDocId">
    <vt:lpwstr/>
  </property>
</Properties>
</file>