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D4" w:rsidRDefault="00C511D4" w:rsidP="0067014E">
      <w:pPr>
        <w:spacing w:after="120"/>
        <w:jc w:val="center"/>
        <w:rPr>
          <w:rFonts w:ascii="Arial" w:hAnsi="Arial" w:cs="Arial"/>
          <w:b/>
          <w:sz w:val="28"/>
          <w:szCs w:val="28"/>
        </w:rPr>
      </w:pPr>
      <w:r>
        <w:rPr>
          <w:rFonts w:ascii="Arial" w:hAnsi="Arial" w:cs="Arial"/>
          <w:b/>
          <w:sz w:val="28"/>
          <w:szCs w:val="28"/>
        </w:rPr>
        <w:t>SB 375 Target Setting</w:t>
      </w:r>
    </w:p>
    <w:p w:rsidR="0067014E" w:rsidRPr="007A174A" w:rsidRDefault="0067014E" w:rsidP="0067014E">
      <w:pPr>
        <w:spacing w:after="120"/>
        <w:jc w:val="center"/>
        <w:rPr>
          <w:rFonts w:ascii="Arial" w:hAnsi="Arial" w:cs="Arial"/>
          <w:b/>
          <w:sz w:val="28"/>
          <w:szCs w:val="28"/>
        </w:rPr>
      </w:pPr>
      <w:r>
        <w:rPr>
          <w:rFonts w:ascii="Arial" w:hAnsi="Arial" w:cs="Arial"/>
          <w:b/>
          <w:sz w:val="28"/>
          <w:szCs w:val="28"/>
        </w:rPr>
        <w:t>K</w:t>
      </w:r>
      <w:r w:rsidRPr="007A174A">
        <w:rPr>
          <w:rFonts w:ascii="Arial" w:hAnsi="Arial" w:cs="Arial"/>
          <w:b/>
          <w:sz w:val="28"/>
          <w:szCs w:val="28"/>
        </w:rPr>
        <w:t xml:space="preserve">ern COG </w:t>
      </w:r>
      <w:r>
        <w:rPr>
          <w:rFonts w:ascii="Arial" w:hAnsi="Arial" w:cs="Arial"/>
          <w:b/>
          <w:sz w:val="28"/>
          <w:szCs w:val="28"/>
        </w:rPr>
        <w:t>Response to 8-9</w:t>
      </w:r>
      <w:r w:rsidRPr="007A174A">
        <w:rPr>
          <w:rFonts w:ascii="Arial" w:hAnsi="Arial" w:cs="Arial"/>
          <w:b/>
          <w:sz w:val="28"/>
          <w:szCs w:val="28"/>
        </w:rPr>
        <w:t xml:space="preserve">-10 ARB </w:t>
      </w:r>
      <w:r>
        <w:rPr>
          <w:rFonts w:ascii="Arial" w:hAnsi="Arial" w:cs="Arial"/>
          <w:b/>
          <w:sz w:val="28"/>
          <w:szCs w:val="28"/>
        </w:rPr>
        <w:t>Staff Report – Version 3</w:t>
      </w:r>
    </w:p>
    <w:p w:rsidR="0067014E" w:rsidRDefault="0067014E" w:rsidP="0067014E">
      <w:pPr>
        <w:rPr>
          <w:rFonts w:ascii="Arial" w:hAnsi="Arial" w:cs="Arial"/>
        </w:rPr>
      </w:pPr>
    </w:p>
    <w:p w:rsidR="0067014E" w:rsidRPr="00F901AE" w:rsidRDefault="0067014E" w:rsidP="00483464">
      <w:pPr>
        <w:jc w:val="both"/>
        <w:rPr>
          <w:rFonts w:ascii="Arial" w:hAnsi="Arial" w:cs="Arial"/>
          <w:sz w:val="20"/>
          <w:u w:val="single"/>
        </w:rPr>
      </w:pPr>
      <w:r>
        <w:rPr>
          <w:rFonts w:ascii="Arial" w:hAnsi="Arial" w:cs="Arial"/>
        </w:rPr>
        <w:t>The following comments are being provided to the California Air Resources Board and will be incorporated into a response letter to be approved by the Kern COG Board on September 16, 2010.  The CARB staff r</w:t>
      </w:r>
      <w:r w:rsidRPr="00165F9E">
        <w:rPr>
          <w:rFonts w:ascii="Arial" w:hAnsi="Arial" w:cs="Arial"/>
        </w:rPr>
        <w:t xml:space="preserve">eport </w:t>
      </w:r>
      <w:r w:rsidR="00C511D4">
        <w:rPr>
          <w:rFonts w:ascii="Arial" w:hAnsi="Arial" w:cs="Arial"/>
        </w:rPr>
        <w:t xml:space="preserve">is </w:t>
      </w:r>
      <w:r w:rsidRPr="00165F9E">
        <w:rPr>
          <w:rFonts w:ascii="Arial" w:hAnsi="Arial" w:cs="Arial"/>
        </w:rPr>
        <w:t>available at</w:t>
      </w:r>
      <w:r>
        <w:rPr>
          <w:rFonts w:ascii="Arial" w:hAnsi="Arial" w:cs="Arial"/>
        </w:rPr>
        <w:t xml:space="preserve"> </w:t>
      </w:r>
      <w:hyperlink r:id="rId7" w:history="1">
        <w:r w:rsidRPr="00E64E96">
          <w:rPr>
            <w:rStyle w:val="Hyperlink"/>
            <w:rFonts w:ascii="Arial" w:hAnsi="Arial" w:cs="Arial"/>
            <w:sz w:val="20"/>
          </w:rPr>
          <w:t>http://www.arb.ca.gov/cc/sb375/sb375.htm</w:t>
        </w:r>
      </w:hyperlink>
      <w:r>
        <w:rPr>
          <w:rFonts w:ascii="Arial" w:hAnsi="Arial" w:cs="Arial"/>
          <w:sz w:val="20"/>
        </w:rPr>
        <w:t>.</w:t>
      </w:r>
    </w:p>
    <w:p w:rsidR="0067014E" w:rsidRDefault="0067014E" w:rsidP="00483464">
      <w:pPr>
        <w:jc w:val="both"/>
        <w:rPr>
          <w:rFonts w:ascii="Arial" w:hAnsi="Arial" w:cs="Arial"/>
        </w:rPr>
      </w:pPr>
    </w:p>
    <w:p w:rsidR="0067014E" w:rsidRDefault="0067014E" w:rsidP="001F2445">
      <w:pPr>
        <w:numPr>
          <w:ilvl w:val="0"/>
          <w:numId w:val="7"/>
        </w:numPr>
        <w:ind w:left="360"/>
        <w:jc w:val="both"/>
        <w:rPr>
          <w:rFonts w:ascii="Arial" w:hAnsi="Arial" w:cs="Arial"/>
        </w:rPr>
      </w:pPr>
      <w:proofErr w:type="spellStart"/>
      <w:r>
        <w:rPr>
          <w:rFonts w:ascii="Arial" w:hAnsi="Arial" w:cs="Arial"/>
          <w:b/>
        </w:rPr>
        <w:t>Valleywide</w:t>
      </w:r>
      <w:proofErr w:type="spellEnd"/>
      <w:r>
        <w:rPr>
          <w:rFonts w:ascii="Arial" w:hAnsi="Arial" w:cs="Arial"/>
          <w:b/>
        </w:rPr>
        <w:t xml:space="preserve"> Target Precedent - </w:t>
      </w:r>
      <w:r>
        <w:rPr>
          <w:rFonts w:ascii="Arial" w:hAnsi="Arial" w:cs="Arial"/>
        </w:rPr>
        <w:t xml:space="preserve">Kern COG is </w:t>
      </w:r>
      <w:r w:rsidRPr="00774ACA">
        <w:rPr>
          <w:rFonts w:ascii="Arial" w:hAnsi="Arial" w:cs="Arial"/>
        </w:rPr>
        <w:t xml:space="preserve">seriously </w:t>
      </w:r>
      <w:r>
        <w:rPr>
          <w:rFonts w:ascii="Arial" w:hAnsi="Arial" w:cs="Arial"/>
        </w:rPr>
        <w:t>concerned that a single placeholder target for the “Valley” will preclu</w:t>
      </w:r>
      <w:r w:rsidRPr="00774ACA">
        <w:rPr>
          <w:rFonts w:ascii="Arial" w:hAnsi="Arial" w:cs="Arial"/>
        </w:rPr>
        <w:t xml:space="preserve">de the option to establish targets </w:t>
      </w:r>
      <w:r>
        <w:rPr>
          <w:rFonts w:ascii="Arial" w:hAnsi="Arial" w:cs="Arial"/>
        </w:rPr>
        <w:t xml:space="preserve">for </w:t>
      </w:r>
      <w:proofErr w:type="spellStart"/>
      <w:r>
        <w:rPr>
          <w:rFonts w:ascii="Arial" w:hAnsi="Arial" w:cs="Arial"/>
        </w:rPr>
        <w:t>subregions</w:t>
      </w:r>
      <w:proofErr w:type="spellEnd"/>
      <w:r w:rsidRPr="00774ACA">
        <w:rPr>
          <w:rFonts w:ascii="Arial" w:hAnsi="Arial" w:cs="Arial"/>
        </w:rPr>
        <w:t xml:space="preserve"> or a single MPO in the 8-county area</w:t>
      </w:r>
      <w:r>
        <w:rPr>
          <w:rFonts w:ascii="Arial" w:hAnsi="Arial" w:cs="Arial"/>
        </w:rPr>
        <w:t xml:space="preserve">.  </w:t>
      </w:r>
      <w:r w:rsidRPr="00774ACA">
        <w:rPr>
          <w:rFonts w:ascii="Arial" w:hAnsi="Arial" w:cs="Arial"/>
        </w:rPr>
        <w:t>Half of the Kern Region lies in the</w:t>
      </w:r>
      <w:r>
        <w:rPr>
          <w:rFonts w:ascii="Arial" w:hAnsi="Arial" w:cs="Arial"/>
        </w:rPr>
        <w:t xml:space="preserve"> East Kern Air Basin, and is NOT</w:t>
      </w:r>
      <w:r w:rsidRPr="00774ACA">
        <w:rPr>
          <w:rFonts w:ascii="Arial" w:hAnsi="Arial" w:cs="Arial"/>
        </w:rPr>
        <w:t xml:space="preserve"> in the </w:t>
      </w:r>
      <w:r>
        <w:rPr>
          <w:rFonts w:ascii="Arial" w:hAnsi="Arial" w:cs="Arial"/>
        </w:rPr>
        <w:t>“</w:t>
      </w:r>
      <w:r w:rsidRPr="00774ACA">
        <w:rPr>
          <w:rFonts w:ascii="Arial" w:hAnsi="Arial" w:cs="Arial"/>
        </w:rPr>
        <w:t>Valley.</w:t>
      </w:r>
      <w:r>
        <w:rPr>
          <w:rFonts w:ascii="Arial" w:hAnsi="Arial" w:cs="Arial"/>
        </w:rPr>
        <w:t>”</w:t>
      </w:r>
      <w:r w:rsidRPr="00774ACA">
        <w:rPr>
          <w:rFonts w:ascii="Arial" w:hAnsi="Arial" w:cs="Arial"/>
        </w:rPr>
        <w:t xml:space="preserve">  The Kern region is committed to striving to work with the other 7 </w:t>
      </w:r>
      <w:r>
        <w:rPr>
          <w:rFonts w:ascii="Arial" w:hAnsi="Arial" w:cs="Arial"/>
        </w:rPr>
        <w:t xml:space="preserve">Valley </w:t>
      </w:r>
      <w:r w:rsidRPr="00774ACA">
        <w:rPr>
          <w:rFonts w:ascii="Arial" w:hAnsi="Arial" w:cs="Arial"/>
        </w:rPr>
        <w:t>MPOs to develop a single 8-county</w:t>
      </w:r>
      <w:r>
        <w:rPr>
          <w:rFonts w:ascii="Arial" w:hAnsi="Arial" w:cs="Arial"/>
        </w:rPr>
        <w:t xml:space="preserve"> or multi-county</w:t>
      </w:r>
      <w:r w:rsidRPr="00774ACA">
        <w:rPr>
          <w:rFonts w:ascii="Arial" w:hAnsi="Arial" w:cs="Arial"/>
        </w:rPr>
        <w:t xml:space="preserve"> target</w:t>
      </w:r>
      <w:r>
        <w:rPr>
          <w:rFonts w:ascii="Arial" w:hAnsi="Arial" w:cs="Arial"/>
        </w:rPr>
        <w:t>(s)</w:t>
      </w:r>
      <w:r w:rsidRPr="00774ACA">
        <w:rPr>
          <w:rFonts w:ascii="Arial" w:hAnsi="Arial" w:cs="Arial"/>
        </w:rPr>
        <w:t>, however, if coordination is not possible, the precedent the proposed Valley placeho</w:t>
      </w:r>
      <w:r w:rsidR="00100FC2">
        <w:rPr>
          <w:rFonts w:ascii="Arial" w:hAnsi="Arial" w:cs="Arial"/>
        </w:rPr>
        <w:t>l</w:t>
      </w:r>
      <w:r w:rsidRPr="00774ACA">
        <w:rPr>
          <w:rFonts w:ascii="Arial" w:hAnsi="Arial" w:cs="Arial"/>
        </w:rPr>
        <w:t xml:space="preserve">der target sets needs to be clarified.  </w:t>
      </w:r>
      <w:r>
        <w:rPr>
          <w:rFonts w:ascii="Arial" w:hAnsi="Arial" w:cs="Arial"/>
          <w:b/>
        </w:rPr>
        <w:t>Recommendation:</w:t>
      </w:r>
      <w:r>
        <w:rPr>
          <w:rFonts w:ascii="Arial" w:hAnsi="Arial" w:cs="Arial"/>
        </w:rPr>
        <w:t xml:space="preserve">  Provide separate provisional target(s) to MPO(s) from the San Joaquin Valley 8-County region that are unable to coordinate with the rest of the Valley.  Base targets on modeling information specific to the each MPO.</w:t>
      </w:r>
    </w:p>
    <w:p w:rsidR="0067014E" w:rsidRDefault="0067014E" w:rsidP="00483464">
      <w:pPr>
        <w:jc w:val="both"/>
        <w:rPr>
          <w:rFonts w:ascii="Arial" w:hAnsi="Arial" w:cs="Arial"/>
        </w:rPr>
      </w:pPr>
    </w:p>
    <w:p w:rsidR="0067014E" w:rsidRDefault="0067014E" w:rsidP="001F2445">
      <w:pPr>
        <w:numPr>
          <w:ilvl w:val="0"/>
          <w:numId w:val="4"/>
        </w:numPr>
        <w:jc w:val="both"/>
        <w:rPr>
          <w:rFonts w:ascii="Arial" w:hAnsi="Arial" w:cs="Arial"/>
        </w:rPr>
      </w:pPr>
      <w:r w:rsidRPr="0094561C">
        <w:rPr>
          <w:rFonts w:ascii="Arial" w:hAnsi="Arial" w:cs="Arial"/>
          <w:b/>
        </w:rPr>
        <w:t>10%</w:t>
      </w:r>
      <w:r>
        <w:rPr>
          <w:rFonts w:ascii="Arial" w:hAnsi="Arial" w:cs="Arial"/>
          <w:b/>
        </w:rPr>
        <w:t xml:space="preserve"> Reduction by 2035</w:t>
      </w:r>
      <w:r w:rsidRPr="0094561C">
        <w:rPr>
          <w:rFonts w:ascii="Arial" w:hAnsi="Arial" w:cs="Arial"/>
          <w:b/>
        </w:rPr>
        <w:t xml:space="preserve"> </w:t>
      </w:r>
      <w:r>
        <w:rPr>
          <w:rFonts w:ascii="Arial" w:hAnsi="Arial" w:cs="Arial"/>
          <w:b/>
        </w:rPr>
        <w:t>is</w:t>
      </w:r>
      <w:r w:rsidRPr="0094561C">
        <w:rPr>
          <w:rFonts w:ascii="Arial" w:hAnsi="Arial" w:cs="Arial"/>
          <w:b/>
        </w:rPr>
        <w:t xml:space="preserve"> Too Ambitious</w:t>
      </w:r>
      <w:r>
        <w:rPr>
          <w:rFonts w:ascii="Arial" w:hAnsi="Arial" w:cs="Arial"/>
        </w:rPr>
        <w:t xml:space="preserve"> – As pointed out in the 8-9-10 Staff Report this target is way beyond any modeling provided from any Valley MPO to date.  Kern bears little resemblance to the big four major metropolitan areas, and basing targets for Kern on what other regions can do is arbitrary, unfair and could have serious repercussions to state environmental, economic and equity goals.  For example the rural nature of the San Joaquin Valley and lack of mass transit options make emissions savings difficult to achieve.  </w:t>
      </w:r>
      <w:r w:rsidRPr="00A1046B">
        <w:rPr>
          <w:rFonts w:ascii="Arial" w:hAnsi="Arial" w:cs="Arial"/>
          <w:b/>
        </w:rPr>
        <w:t>Recommendation:</w:t>
      </w:r>
      <w:r>
        <w:rPr>
          <w:rFonts w:ascii="Arial" w:hAnsi="Arial" w:cs="Arial"/>
        </w:rPr>
        <w:t xml:space="preserve">  Provide provisional targets that reflect local modeling and are </w:t>
      </w:r>
      <w:r w:rsidR="00100FC2">
        <w:rPr>
          <w:rFonts w:ascii="Arial" w:hAnsi="Arial" w:cs="Arial"/>
        </w:rPr>
        <w:t>NOT</w:t>
      </w:r>
      <w:r>
        <w:rPr>
          <w:rFonts w:ascii="Arial" w:hAnsi="Arial" w:cs="Arial"/>
        </w:rPr>
        <w:t xml:space="preserve"> based on comparison to other regions. </w:t>
      </w:r>
    </w:p>
    <w:p w:rsidR="0067014E" w:rsidRDefault="0067014E" w:rsidP="00483464">
      <w:pPr>
        <w:ind w:left="360"/>
        <w:jc w:val="both"/>
        <w:rPr>
          <w:rFonts w:ascii="Arial" w:hAnsi="Arial" w:cs="Arial"/>
        </w:rPr>
      </w:pPr>
    </w:p>
    <w:p w:rsidR="0067014E" w:rsidRDefault="0067014E" w:rsidP="00483464">
      <w:pPr>
        <w:ind w:left="360"/>
        <w:jc w:val="both"/>
        <w:rPr>
          <w:rFonts w:ascii="Arial" w:hAnsi="Arial" w:cs="Arial"/>
        </w:rPr>
      </w:pPr>
      <w:r>
        <w:rPr>
          <w:rFonts w:ascii="Arial" w:hAnsi="Arial" w:cs="Arial"/>
        </w:rPr>
        <w:t xml:space="preserve">On April 23, 2010 Kern COG provided to ARB modeling and technical information as required by SB 375 Government Code </w:t>
      </w:r>
      <w:r w:rsidRPr="002C5DC8">
        <w:rPr>
          <w:rFonts w:ascii="Arial" w:hAnsi="Arial" w:cs="Arial"/>
        </w:rPr>
        <w:t>Section 65080 (b</w:t>
      </w:r>
      <w:proofErr w:type="gramStart"/>
      <w:r w:rsidRPr="002C5DC8">
        <w:rPr>
          <w:rFonts w:ascii="Arial" w:hAnsi="Arial" w:cs="Arial"/>
        </w:rPr>
        <w:t>)(</w:t>
      </w:r>
      <w:proofErr w:type="gramEnd"/>
      <w:r w:rsidRPr="002C5DC8">
        <w:rPr>
          <w:rFonts w:ascii="Arial" w:hAnsi="Arial" w:cs="Arial"/>
        </w:rPr>
        <w:t>2)</w:t>
      </w:r>
      <w:r>
        <w:rPr>
          <w:rFonts w:ascii="Arial" w:hAnsi="Arial" w:cs="Arial"/>
        </w:rPr>
        <w:t>(A)(ii).  These results are for an alternative land use scenario that showed a .5 percentage point reduction when compared to the baseline 2035 scenario using the same methodology as used in the ARB 8-9-10 staff report:</w:t>
      </w:r>
    </w:p>
    <w:p w:rsidR="0067014E" w:rsidRDefault="0067014E" w:rsidP="00483464">
      <w:pPr>
        <w:ind w:right="720"/>
        <w:mirrorIndents/>
        <w:jc w:val="both"/>
        <w:rPr>
          <w:rFonts w:ascii="Arial" w:hAnsi="Arial" w:cs="Arial"/>
        </w:rPr>
      </w:pPr>
    </w:p>
    <w:p w:rsidR="0067014E" w:rsidRDefault="0067014E" w:rsidP="00483464">
      <w:pPr>
        <w:ind w:left="360" w:right="720" w:hanging="360"/>
        <w:mirrorIndents/>
        <w:jc w:val="both"/>
        <w:rPr>
          <w:rFonts w:ascii="Arial" w:hAnsi="Arial" w:cs="Arial"/>
        </w:rPr>
      </w:pPr>
      <w:r>
        <w:rPr>
          <w:rFonts w:ascii="Arial" w:hAnsi="Arial" w:cs="Arial"/>
          <w:b/>
        </w:rPr>
        <w:t xml:space="preserve">Per-Capita </w:t>
      </w:r>
      <w:r w:rsidRPr="0017106C">
        <w:rPr>
          <w:rFonts w:ascii="Arial" w:hAnsi="Arial" w:cs="Arial"/>
          <w:b/>
        </w:rPr>
        <w:t xml:space="preserve">Target Based on </w:t>
      </w:r>
      <w:r>
        <w:rPr>
          <w:rFonts w:ascii="Arial" w:hAnsi="Arial" w:cs="Arial"/>
          <w:b/>
        </w:rPr>
        <w:t>Technical</w:t>
      </w:r>
      <w:r w:rsidRPr="0017106C">
        <w:rPr>
          <w:rFonts w:ascii="Arial" w:hAnsi="Arial" w:cs="Arial"/>
          <w:b/>
        </w:rPr>
        <w:t xml:space="preserve"> Information Provided to ARB (4/23/10)</w:t>
      </w:r>
      <w:r>
        <w:rPr>
          <w:rFonts w:ascii="Arial" w:hAnsi="Arial" w:cs="Arial"/>
          <w:b/>
        </w:rPr>
        <w:t xml:space="preserve"> by the Kern MPO</w:t>
      </w:r>
    </w:p>
    <w:p w:rsidR="0067014E" w:rsidRDefault="0067014E" w:rsidP="00483464">
      <w:pPr>
        <w:ind w:left="36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610"/>
        <w:gridCol w:w="3240"/>
      </w:tblGrid>
      <w:tr w:rsidR="0067014E" w:rsidRPr="00D42818" w:rsidTr="0067014E">
        <w:tc>
          <w:tcPr>
            <w:tcW w:w="2088" w:type="dxa"/>
          </w:tcPr>
          <w:p w:rsidR="0067014E" w:rsidRPr="00D42818" w:rsidRDefault="0067014E" w:rsidP="00483464">
            <w:pPr>
              <w:jc w:val="both"/>
              <w:rPr>
                <w:rFonts w:ascii="Arial" w:hAnsi="Arial" w:cs="Arial"/>
              </w:rPr>
            </w:pPr>
          </w:p>
        </w:tc>
        <w:tc>
          <w:tcPr>
            <w:tcW w:w="2610" w:type="dxa"/>
          </w:tcPr>
          <w:p w:rsidR="0067014E" w:rsidRPr="00D42818" w:rsidRDefault="0067014E" w:rsidP="00483464">
            <w:pPr>
              <w:jc w:val="both"/>
              <w:rPr>
                <w:rFonts w:ascii="Arial" w:hAnsi="Arial" w:cs="Arial"/>
                <w:b/>
              </w:rPr>
            </w:pPr>
            <w:r w:rsidRPr="00D42818">
              <w:rPr>
                <w:rFonts w:ascii="Arial" w:hAnsi="Arial" w:cs="Arial"/>
                <w:b/>
              </w:rPr>
              <w:t>2020</w:t>
            </w:r>
          </w:p>
        </w:tc>
        <w:tc>
          <w:tcPr>
            <w:tcW w:w="3240" w:type="dxa"/>
          </w:tcPr>
          <w:p w:rsidR="0067014E" w:rsidRPr="00D42818" w:rsidRDefault="0067014E" w:rsidP="00483464">
            <w:pPr>
              <w:jc w:val="both"/>
              <w:rPr>
                <w:rFonts w:ascii="Arial" w:hAnsi="Arial" w:cs="Arial"/>
                <w:b/>
              </w:rPr>
            </w:pPr>
            <w:r w:rsidRPr="00D42818">
              <w:rPr>
                <w:rFonts w:ascii="Arial" w:hAnsi="Arial" w:cs="Arial"/>
                <w:b/>
              </w:rPr>
              <w:t>2035</w:t>
            </w:r>
          </w:p>
        </w:tc>
      </w:tr>
      <w:tr w:rsidR="0067014E" w:rsidRPr="00D42818" w:rsidTr="0067014E">
        <w:tc>
          <w:tcPr>
            <w:tcW w:w="2088" w:type="dxa"/>
          </w:tcPr>
          <w:p w:rsidR="0067014E" w:rsidRPr="00D42818" w:rsidRDefault="0067014E" w:rsidP="00483464">
            <w:pPr>
              <w:jc w:val="both"/>
              <w:rPr>
                <w:rFonts w:ascii="Arial" w:hAnsi="Arial" w:cs="Arial"/>
              </w:rPr>
            </w:pPr>
            <w:r w:rsidRPr="00D42818">
              <w:rPr>
                <w:rFonts w:ascii="Arial" w:hAnsi="Arial" w:cs="Arial"/>
              </w:rPr>
              <w:t>Kern COG</w:t>
            </w:r>
          </w:p>
        </w:tc>
        <w:tc>
          <w:tcPr>
            <w:tcW w:w="2610" w:type="dxa"/>
          </w:tcPr>
          <w:p w:rsidR="0067014E" w:rsidRPr="00D42818" w:rsidRDefault="0067014E" w:rsidP="00483464">
            <w:pPr>
              <w:jc w:val="both"/>
              <w:rPr>
                <w:rFonts w:ascii="Arial" w:hAnsi="Arial" w:cs="Arial"/>
              </w:rPr>
            </w:pPr>
            <w:r w:rsidRPr="00D42818">
              <w:rPr>
                <w:rFonts w:ascii="Arial" w:hAnsi="Arial" w:cs="Arial"/>
              </w:rPr>
              <w:t>2% Decrease</w:t>
            </w:r>
          </w:p>
        </w:tc>
        <w:tc>
          <w:tcPr>
            <w:tcW w:w="3240" w:type="dxa"/>
          </w:tcPr>
          <w:p w:rsidR="0067014E" w:rsidRPr="00D42818" w:rsidRDefault="0067014E" w:rsidP="00483464">
            <w:pPr>
              <w:jc w:val="both"/>
              <w:rPr>
                <w:rFonts w:ascii="Arial" w:hAnsi="Arial" w:cs="Arial"/>
              </w:rPr>
            </w:pPr>
            <w:r>
              <w:rPr>
                <w:rFonts w:ascii="Arial" w:hAnsi="Arial" w:cs="Arial"/>
              </w:rPr>
              <w:t>8</w:t>
            </w:r>
            <w:r w:rsidRPr="00D42818">
              <w:rPr>
                <w:rFonts w:ascii="Arial" w:hAnsi="Arial" w:cs="Arial"/>
              </w:rPr>
              <w:t>% Increase</w:t>
            </w:r>
          </w:p>
        </w:tc>
      </w:tr>
    </w:tbl>
    <w:p w:rsidR="0067014E" w:rsidRDefault="0067014E" w:rsidP="00483464">
      <w:pPr>
        <w:ind w:left="360"/>
        <w:jc w:val="both"/>
        <w:rPr>
          <w:rFonts w:ascii="Arial" w:hAnsi="Arial" w:cs="Arial"/>
          <w:sz w:val="16"/>
          <w:szCs w:val="16"/>
        </w:rPr>
      </w:pPr>
      <w:r w:rsidRPr="004944B9">
        <w:rPr>
          <w:rFonts w:ascii="Arial" w:hAnsi="Arial" w:cs="Arial"/>
          <w:sz w:val="16"/>
          <w:szCs w:val="16"/>
        </w:rPr>
        <w:t>(</w:t>
      </w:r>
      <w:proofErr w:type="gramStart"/>
      <w:r>
        <w:rPr>
          <w:rFonts w:ascii="Arial" w:hAnsi="Arial" w:cs="Arial"/>
          <w:sz w:val="16"/>
          <w:szCs w:val="16"/>
        </w:rPr>
        <w:t>methodology</w:t>
      </w:r>
      <w:proofErr w:type="gramEnd"/>
      <w:r>
        <w:rPr>
          <w:rFonts w:ascii="Arial" w:hAnsi="Arial" w:cs="Arial"/>
          <w:sz w:val="16"/>
          <w:szCs w:val="16"/>
        </w:rPr>
        <w:t xml:space="preserve"> </w:t>
      </w:r>
      <w:r w:rsidRPr="004944B9">
        <w:rPr>
          <w:rFonts w:ascii="Arial" w:hAnsi="Arial" w:cs="Arial"/>
          <w:sz w:val="16"/>
          <w:szCs w:val="16"/>
        </w:rPr>
        <w:t>excludes 100% XX</w:t>
      </w:r>
      <w:r>
        <w:rPr>
          <w:rFonts w:ascii="Arial" w:hAnsi="Arial" w:cs="Arial"/>
          <w:sz w:val="16"/>
          <w:szCs w:val="16"/>
        </w:rPr>
        <w:t xml:space="preserve"> thru county travel</w:t>
      </w:r>
      <w:r w:rsidRPr="004944B9">
        <w:rPr>
          <w:rFonts w:ascii="Arial" w:hAnsi="Arial" w:cs="Arial"/>
          <w:sz w:val="16"/>
          <w:szCs w:val="16"/>
        </w:rPr>
        <w:t>)</w:t>
      </w:r>
    </w:p>
    <w:p w:rsidR="0067014E" w:rsidRDefault="0067014E" w:rsidP="00483464">
      <w:pPr>
        <w:ind w:left="360"/>
        <w:jc w:val="both"/>
        <w:rPr>
          <w:rFonts w:ascii="Arial" w:hAnsi="Arial" w:cs="Arial"/>
        </w:rPr>
      </w:pPr>
    </w:p>
    <w:p w:rsidR="0067014E" w:rsidRDefault="0067014E" w:rsidP="00483464">
      <w:pPr>
        <w:ind w:left="360"/>
        <w:jc w:val="both"/>
        <w:rPr>
          <w:rFonts w:ascii="Arial" w:hAnsi="Arial" w:cs="Arial"/>
        </w:rPr>
      </w:pPr>
      <w:r>
        <w:rPr>
          <w:rFonts w:ascii="Arial" w:hAnsi="Arial" w:cs="Arial"/>
        </w:rPr>
        <w:t xml:space="preserve">The 5% decrease by 2020 and 10% decrease by 2035 proposed by ARB staff is NOT based on the technical information provided by the MPO.  The ARB staff proposal ignores the local information adopted as part of an extensive and open public process for the Kern region.  The technical information provided are consistent to similar sized MPOs outside the Valley area such as the Monterey Bay region which is showing a 14% increase by 2035.  The Kern region and the 7 other Valley MPOs should be treated like the 6 other MPOs where the targets were based on the modeling and technical information they provided.  </w:t>
      </w:r>
    </w:p>
    <w:p w:rsidR="0067014E" w:rsidRPr="0050166E" w:rsidRDefault="0067014E" w:rsidP="00483464">
      <w:pPr>
        <w:ind w:left="360"/>
        <w:jc w:val="both"/>
        <w:rPr>
          <w:rFonts w:ascii="Arial" w:hAnsi="Arial" w:cs="Arial"/>
        </w:rPr>
      </w:pPr>
    </w:p>
    <w:p w:rsidR="0067014E" w:rsidRPr="00A1046B" w:rsidRDefault="0067014E" w:rsidP="001F2445">
      <w:pPr>
        <w:numPr>
          <w:ilvl w:val="0"/>
          <w:numId w:val="4"/>
        </w:numPr>
        <w:jc w:val="both"/>
        <w:rPr>
          <w:rFonts w:ascii="Arial" w:hAnsi="Arial" w:cs="Arial"/>
        </w:rPr>
      </w:pPr>
      <w:r w:rsidRPr="00394000">
        <w:rPr>
          <w:rFonts w:ascii="Arial" w:hAnsi="Arial" w:cs="Arial"/>
          <w:b/>
        </w:rPr>
        <w:t>Placeholder Targets -</w:t>
      </w:r>
      <w:r>
        <w:rPr>
          <w:rFonts w:ascii="Arial" w:hAnsi="Arial" w:cs="Arial"/>
        </w:rPr>
        <w:t xml:space="preserve"> </w:t>
      </w:r>
      <w:r w:rsidRPr="00A1046B">
        <w:rPr>
          <w:rFonts w:ascii="Arial" w:hAnsi="Arial" w:cs="Arial"/>
        </w:rPr>
        <w:t xml:space="preserve">Kern COG supports </w:t>
      </w:r>
      <w:r>
        <w:rPr>
          <w:rFonts w:ascii="Arial" w:hAnsi="Arial" w:cs="Arial"/>
        </w:rPr>
        <w:t xml:space="preserve">the </w:t>
      </w:r>
      <w:r w:rsidRPr="00A1046B">
        <w:rPr>
          <w:rFonts w:ascii="Arial" w:hAnsi="Arial" w:cs="Arial"/>
        </w:rPr>
        <w:t>concept of the placeholder targets with provisional targets to be provided by 2012.  This will allow more time to enhance the modeling to more accurately reflect local conditions on what is ambitious, yet achievable</w:t>
      </w:r>
      <w:r>
        <w:rPr>
          <w:rFonts w:ascii="Arial" w:hAnsi="Arial" w:cs="Arial"/>
        </w:rPr>
        <w:t xml:space="preserve"> as well as interregional travel and strategic employment areas</w:t>
      </w:r>
      <w:r w:rsidRPr="00A1046B">
        <w:rPr>
          <w:rFonts w:ascii="Arial" w:hAnsi="Arial" w:cs="Arial"/>
        </w:rPr>
        <w:t xml:space="preserve">.  </w:t>
      </w:r>
      <w:r w:rsidRPr="00A1046B">
        <w:rPr>
          <w:rFonts w:ascii="Arial" w:hAnsi="Arial" w:cs="Arial"/>
          <w:b/>
        </w:rPr>
        <w:t>Recommendation</w:t>
      </w:r>
      <w:r>
        <w:rPr>
          <w:rFonts w:ascii="Arial" w:hAnsi="Arial" w:cs="Arial"/>
          <w:b/>
        </w:rPr>
        <w:t xml:space="preserve">:  </w:t>
      </w:r>
      <w:r>
        <w:rPr>
          <w:rFonts w:ascii="Arial" w:hAnsi="Arial" w:cs="Arial"/>
        </w:rPr>
        <w:t>New modeling enhancements underway may not be ready by 2012 due to the limited modeling resources of the Valley MPOs.  Allow an additional update of information to the provisional targets prior to their final adoption in 2014 or the next RTP cycle.</w:t>
      </w:r>
    </w:p>
    <w:p w:rsidR="0067014E" w:rsidRDefault="0067014E" w:rsidP="00483464">
      <w:pPr>
        <w:pStyle w:val="ListParagraph"/>
        <w:jc w:val="both"/>
        <w:rPr>
          <w:rFonts w:ascii="Arial" w:hAnsi="Arial" w:cs="Arial"/>
        </w:rPr>
      </w:pPr>
    </w:p>
    <w:p w:rsidR="0067014E" w:rsidRDefault="0067014E" w:rsidP="001F2445">
      <w:pPr>
        <w:numPr>
          <w:ilvl w:val="0"/>
          <w:numId w:val="4"/>
        </w:numPr>
        <w:jc w:val="both"/>
        <w:rPr>
          <w:rFonts w:ascii="Arial" w:hAnsi="Arial" w:cs="Arial"/>
        </w:rPr>
      </w:pPr>
      <w:r>
        <w:rPr>
          <w:rFonts w:ascii="Arial" w:hAnsi="Arial" w:cs="Arial"/>
          <w:b/>
        </w:rPr>
        <w:t xml:space="preserve">Subarea </w:t>
      </w:r>
      <w:r w:rsidRPr="00394000">
        <w:rPr>
          <w:rFonts w:ascii="Arial" w:hAnsi="Arial" w:cs="Arial"/>
          <w:b/>
        </w:rPr>
        <w:t>Targets</w:t>
      </w:r>
      <w:r>
        <w:rPr>
          <w:rFonts w:ascii="Arial" w:hAnsi="Arial" w:cs="Arial"/>
          <w:b/>
        </w:rPr>
        <w:t xml:space="preserve"> for MPOs Split by </w:t>
      </w:r>
      <w:r w:rsidRPr="00394000">
        <w:rPr>
          <w:rFonts w:ascii="Arial" w:hAnsi="Arial" w:cs="Arial"/>
          <w:b/>
        </w:rPr>
        <w:t>Air District</w:t>
      </w:r>
      <w:r>
        <w:rPr>
          <w:rFonts w:ascii="Arial" w:hAnsi="Arial" w:cs="Arial"/>
          <w:b/>
        </w:rPr>
        <w:t>s</w:t>
      </w:r>
      <w:r w:rsidRPr="00394000">
        <w:rPr>
          <w:rFonts w:ascii="Arial" w:hAnsi="Arial" w:cs="Arial"/>
          <w:b/>
        </w:rPr>
        <w:t xml:space="preserve"> - </w:t>
      </w:r>
      <w:r>
        <w:rPr>
          <w:rFonts w:ascii="Arial" w:hAnsi="Arial" w:cs="Arial"/>
        </w:rPr>
        <w:t xml:space="preserve">Kern County is a diverse region governed by two separate air districts/basins.  The East Kern Air District is not in the San Joaquin Valley.  </w:t>
      </w:r>
      <w:r w:rsidRPr="00A1046B">
        <w:rPr>
          <w:rFonts w:ascii="Arial" w:hAnsi="Arial" w:cs="Arial"/>
          <w:b/>
        </w:rPr>
        <w:t>Recommendation:</w:t>
      </w:r>
      <w:r>
        <w:rPr>
          <w:rFonts w:ascii="Arial" w:hAnsi="Arial" w:cs="Arial"/>
        </w:rPr>
        <w:t xml:space="preserve">  If an MPO is split by air districts, allow the MPO to provide information during the provisional update for creating separate targets for each air district sub area similar to the process in the SCAG region.  For example, the San Joaquin Valley portion could apply to the San Joaquin Valley Target.</w:t>
      </w:r>
    </w:p>
    <w:p w:rsidR="0067014E" w:rsidRDefault="0067014E" w:rsidP="00483464">
      <w:pPr>
        <w:ind w:left="360"/>
        <w:jc w:val="both"/>
        <w:rPr>
          <w:rFonts w:ascii="Arial" w:hAnsi="Arial" w:cs="Arial"/>
        </w:rPr>
      </w:pPr>
    </w:p>
    <w:p w:rsidR="0067014E" w:rsidRDefault="0067014E" w:rsidP="001F2445">
      <w:pPr>
        <w:numPr>
          <w:ilvl w:val="0"/>
          <w:numId w:val="4"/>
        </w:numPr>
        <w:jc w:val="both"/>
        <w:rPr>
          <w:rFonts w:ascii="Arial" w:hAnsi="Arial" w:cs="Arial"/>
        </w:rPr>
      </w:pPr>
      <w:r w:rsidRPr="00394000">
        <w:rPr>
          <w:rFonts w:ascii="Arial" w:hAnsi="Arial" w:cs="Arial"/>
          <w:b/>
        </w:rPr>
        <w:t>Strategic Employment Areas -</w:t>
      </w:r>
      <w:r>
        <w:rPr>
          <w:rFonts w:ascii="Arial" w:hAnsi="Arial" w:cs="Arial"/>
        </w:rPr>
        <w:t xml:space="preserve"> Kern COG is dominated by rural resource land uses.  These areas contain employment activities strategic to the state climate change and other goals.  The RTAC recommended consideration for Strategic Employment Areas (such as military, wind energy, prisons, etc.) in the target setting process.  There is no mention of this in the staff report.  </w:t>
      </w:r>
      <w:r w:rsidRPr="00394000">
        <w:rPr>
          <w:rFonts w:ascii="Arial" w:hAnsi="Arial" w:cs="Arial"/>
          <w:b/>
        </w:rPr>
        <w:t>Recommendation:</w:t>
      </w:r>
      <w:r>
        <w:rPr>
          <w:rFonts w:ascii="Arial" w:hAnsi="Arial" w:cs="Arial"/>
        </w:rPr>
        <w:t xml:space="preserve">  Allow not only an exemption for Strategic Employment Areas but a credit because of their essential contribution to climate change and other state goals.</w:t>
      </w:r>
    </w:p>
    <w:p w:rsidR="0067014E" w:rsidRDefault="0067014E" w:rsidP="00483464">
      <w:pPr>
        <w:pStyle w:val="ListParagraph"/>
        <w:ind w:left="0"/>
        <w:jc w:val="both"/>
        <w:rPr>
          <w:rFonts w:ascii="Arial" w:hAnsi="Arial" w:cs="Arial"/>
        </w:rPr>
      </w:pPr>
    </w:p>
    <w:p w:rsidR="0067014E" w:rsidRPr="00394000" w:rsidRDefault="0067014E" w:rsidP="001F2445">
      <w:pPr>
        <w:numPr>
          <w:ilvl w:val="0"/>
          <w:numId w:val="6"/>
        </w:numPr>
        <w:jc w:val="both"/>
        <w:rPr>
          <w:rFonts w:ascii="Arial" w:hAnsi="Arial" w:cs="Arial"/>
        </w:rPr>
      </w:pPr>
      <w:r w:rsidRPr="00394000">
        <w:rPr>
          <w:rFonts w:ascii="Arial" w:hAnsi="Arial" w:cs="Arial"/>
          <w:b/>
        </w:rPr>
        <w:t>Alternative Numeric Method to Percent Per Capita CO2 Reduction –</w:t>
      </w:r>
      <w:r w:rsidRPr="00394000">
        <w:rPr>
          <w:rFonts w:ascii="Arial" w:hAnsi="Arial" w:cs="Arial"/>
        </w:rPr>
        <w:t xml:space="preserve"> The percent per capita method creates problems for smaller high growth MPOs that can be subject to dramatic percent per capita changes because their population may be doubling every 30-40 years.  It is important not to force an APS on a region that can show a significant savings in CO2 emissions </w:t>
      </w:r>
      <w:r>
        <w:rPr>
          <w:rFonts w:ascii="Arial" w:hAnsi="Arial" w:cs="Arial"/>
        </w:rPr>
        <w:t>compared to</w:t>
      </w:r>
      <w:r w:rsidRPr="00394000">
        <w:rPr>
          <w:rFonts w:ascii="Arial" w:hAnsi="Arial" w:cs="Arial"/>
        </w:rPr>
        <w:t xml:space="preserve"> the </w:t>
      </w:r>
      <w:r>
        <w:rPr>
          <w:rFonts w:ascii="Arial" w:hAnsi="Arial" w:cs="Arial"/>
        </w:rPr>
        <w:t xml:space="preserve">future year </w:t>
      </w:r>
      <w:r w:rsidRPr="00394000">
        <w:rPr>
          <w:rFonts w:ascii="Arial" w:hAnsi="Arial" w:cs="Arial"/>
        </w:rPr>
        <w:t>baseline but are unable demonstrate compliance with their approved</w:t>
      </w:r>
      <w:r>
        <w:rPr>
          <w:rFonts w:ascii="Arial" w:hAnsi="Arial" w:cs="Arial"/>
        </w:rPr>
        <w:t xml:space="preserve"> provisional</w:t>
      </w:r>
      <w:r w:rsidRPr="00394000">
        <w:rPr>
          <w:rFonts w:ascii="Arial" w:hAnsi="Arial" w:cs="Arial"/>
        </w:rPr>
        <w:t xml:space="preserve"> target on a percent per capita basis.  This could result in the voluntary APS strategies being ignored by the local governments in the region, wiping out the potential emissions savings demonstrated by the MPO’s proposed SCS that </w:t>
      </w:r>
      <w:r>
        <w:rPr>
          <w:rFonts w:ascii="Arial" w:hAnsi="Arial" w:cs="Arial"/>
        </w:rPr>
        <w:t>is</w:t>
      </w:r>
      <w:r w:rsidRPr="00394000">
        <w:rPr>
          <w:rFonts w:ascii="Arial" w:hAnsi="Arial" w:cs="Arial"/>
        </w:rPr>
        <w:t xml:space="preserve"> consider</w:t>
      </w:r>
      <w:r>
        <w:rPr>
          <w:rFonts w:ascii="Arial" w:hAnsi="Arial" w:cs="Arial"/>
        </w:rPr>
        <w:t>ed</w:t>
      </w:r>
      <w:r w:rsidRPr="00394000">
        <w:rPr>
          <w:rFonts w:ascii="Arial" w:hAnsi="Arial" w:cs="Arial"/>
        </w:rPr>
        <w:t xml:space="preserve"> ambitious and achievable</w:t>
      </w:r>
      <w:r>
        <w:rPr>
          <w:rFonts w:ascii="Arial" w:hAnsi="Arial" w:cs="Arial"/>
        </w:rPr>
        <w:t xml:space="preserve"> by the local MPO</w:t>
      </w:r>
      <w:r w:rsidRPr="00394000">
        <w:rPr>
          <w:rFonts w:ascii="Arial" w:hAnsi="Arial" w:cs="Arial"/>
        </w:rPr>
        <w:t>.  MPO’s should be allowed to prepare an SCS if their target meets one of the following requirements:</w:t>
      </w:r>
    </w:p>
    <w:p w:rsidR="0067014E" w:rsidRPr="00394000" w:rsidRDefault="0067014E" w:rsidP="00483464">
      <w:pPr>
        <w:jc w:val="both"/>
        <w:rPr>
          <w:rFonts w:ascii="Arial" w:hAnsi="Arial" w:cs="Arial"/>
        </w:rPr>
      </w:pPr>
    </w:p>
    <w:p w:rsidR="0067014E" w:rsidRPr="00394000" w:rsidRDefault="0067014E" w:rsidP="001F2445">
      <w:pPr>
        <w:numPr>
          <w:ilvl w:val="1"/>
          <w:numId w:val="5"/>
        </w:numPr>
        <w:jc w:val="both"/>
        <w:rPr>
          <w:rFonts w:ascii="Arial" w:hAnsi="Arial" w:cs="Arial"/>
        </w:rPr>
      </w:pPr>
      <w:r>
        <w:rPr>
          <w:rFonts w:ascii="Arial" w:hAnsi="Arial" w:cs="Arial"/>
        </w:rPr>
        <w:t>C</w:t>
      </w:r>
      <w:r w:rsidRPr="00394000">
        <w:rPr>
          <w:rFonts w:ascii="Arial" w:hAnsi="Arial" w:cs="Arial"/>
        </w:rPr>
        <w:t xml:space="preserve">urrent </w:t>
      </w:r>
      <w:r>
        <w:rPr>
          <w:rFonts w:ascii="Arial" w:hAnsi="Arial" w:cs="Arial"/>
        </w:rPr>
        <w:t>M</w:t>
      </w:r>
      <w:r w:rsidRPr="00394000">
        <w:rPr>
          <w:rFonts w:ascii="Arial" w:hAnsi="Arial" w:cs="Arial"/>
        </w:rPr>
        <w:t>ethod - The Percent Per Capita CO2 Reduction from 2005 baseline meets or is better than the MPO’s approved target.</w:t>
      </w:r>
    </w:p>
    <w:p w:rsidR="0067014E" w:rsidRPr="00394000" w:rsidRDefault="0067014E" w:rsidP="00483464">
      <w:pPr>
        <w:ind w:left="360"/>
        <w:jc w:val="both"/>
        <w:rPr>
          <w:rFonts w:ascii="Arial" w:hAnsi="Arial" w:cs="Arial"/>
        </w:rPr>
      </w:pPr>
    </w:p>
    <w:p w:rsidR="0067014E" w:rsidRPr="00394000" w:rsidRDefault="0067014E" w:rsidP="00483464">
      <w:pPr>
        <w:ind w:left="720" w:firstLine="360"/>
        <w:jc w:val="both"/>
        <w:rPr>
          <w:rFonts w:ascii="Arial" w:hAnsi="Arial" w:cs="Arial"/>
        </w:rPr>
      </w:pPr>
      <w:r w:rsidRPr="00394000">
        <w:rPr>
          <w:rFonts w:ascii="Arial" w:hAnsi="Arial" w:cs="Arial"/>
        </w:rPr>
        <w:t>Or</w:t>
      </w:r>
    </w:p>
    <w:p w:rsidR="0067014E" w:rsidRPr="00394000" w:rsidRDefault="0067014E" w:rsidP="00483464">
      <w:pPr>
        <w:ind w:left="720" w:firstLine="360"/>
        <w:jc w:val="both"/>
        <w:rPr>
          <w:rFonts w:ascii="Arial" w:hAnsi="Arial" w:cs="Arial"/>
        </w:rPr>
      </w:pPr>
    </w:p>
    <w:p w:rsidR="0067014E" w:rsidRPr="00394000" w:rsidRDefault="0067014E" w:rsidP="001F2445">
      <w:pPr>
        <w:numPr>
          <w:ilvl w:val="1"/>
          <w:numId w:val="5"/>
        </w:numPr>
        <w:jc w:val="both"/>
        <w:rPr>
          <w:rFonts w:ascii="Arial" w:hAnsi="Arial" w:cs="Arial"/>
        </w:rPr>
      </w:pPr>
      <w:r>
        <w:rPr>
          <w:rFonts w:ascii="Arial" w:hAnsi="Arial" w:cs="Arial"/>
        </w:rPr>
        <w:t>Alternate Method (</w:t>
      </w:r>
      <w:r w:rsidRPr="00394000">
        <w:rPr>
          <w:rFonts w:ascii="Arial" w:hAnsi="Arial" w:cs="Arial"/>
        </w:rPr>
        <w:t>10% R</w:t>
      </w:r>
      <w:r>
        <w:rPr>
          <w:rFonts w:ascii="Arial" w:hAnsi="Arial" w:cs="Arial"/>
        </w:rPr>
        <w:t>eduction in CO2</w:t>
      </w:r>
      <w:r w:rsidRPr="00394000">
        <w:rPr>
          <w:rFonts w:ascii="Arial" w:hAnsi="Arial" w:cs="Arial"/>
        </w:rPr>
        <w:t>) - The MPO’s proposed SCS shows a CO2 emissions 10% below the statewide average, and the numeric pounds of CO2 per capita is 10% below the region’s 2020 and 2035 baseline emissions (pre-</w:t>
      </w:r>
      <w:proofErr w:type="spellStart"/>
      <w:r w:rsidRPr="00394000">
        <w:rPr>
          <w:rFonts w:ascii="Arial" w:hAnsi="Arial" w:cs="Arial"/>
        </w:rPr>
        <w:t>Pavely</w:t>
      </w:r>
      <w:proofErr w:type="spellEnd"/>
      <w:r w:rsidRPr="00394000">
        <w:rPr>
          <w:rFonts w:ascii="Arial" w:hAnsi="Arial" w:cs="Arial"/>
        </w:rPr>
        <w:t xml:space="preserve">/LCF).   For example, if the average SCS is 20 pounds per person in 2035, an MPO would need to show </w:t>
      </w:r>
      <w:r>
        <w:rPr>
          <w:rFonts w:ascii="Arial" w:hAnsi="Arial" w:cs="Arial"/>
        </w:rPr>
        <w:t xml:space="preserve">that it was below 18 pounds per person.  This method should be considered as an addition to Section IV. </w:t>
      </w:r>
      <w:proofErr w:type="gramStart"/>
      <w:r>
        <w:rPr>
          <w:rFonts w:ascii="Arial" w:hAnsi="Arial" w:cs="Arial"/>
        </w:rPr>
        <w:t>of</w:t>
      </w:r>
      <w:proofErr w:type="gramEnd"/>
      <w:r>
        <w:rPr>
          <w:rFonts w:ascii="Arial" w:hAnsi="Arial" w:cs="Arial"/>
        </w:rPr>
        <w:t xml:space="preserve"> the Functionally Equivalent Document.</w:t>
      </w:r>
    </w:p>
    <w:p w:rsidR="0067014E" w:rsidRPr="00394000" w:rsidRDefault="0067014E" w:rsidP="00483464">
      <w:pPr>
        <w:ind w:left="360"/>
        <w:jc w:val="both"/>
        <w:rPr>
          <w:rFonts w:ascii="Arial" w:hAnsi="Arial" w:cs="Arial"/>
        </w:rPr>
      </w:pPr>
    </w:p>
    <w:p w:rsidR="0067014E" w:rsidRPr="00394000" w:rsidRDefault="0067014E" w:rsidP="00483464">
      <w:pPr>
        <w:ind w:left="360"/>
        <w:jc w:val="both"/>
        <w:rPr>
          <w:rFonts w:ascii="Arial" w:hAnsi="Arial" w:cs="Arial"/>
        </w:rPr>
      </w:pPr>
      <w:r w:rsidRPr="00394000">
        <w:rPr>
          <w:rFonts w:ascii="Arial" w:hAnsi="Arial" w:cs="Arial"/>
        </w:rPr>
        <w:t>This alternative method reflects the RTACs recommendation for a substantial improvement in CO2 emissions.</w:t>
      </w:r>
    </w:p>
    <w:p w:rsidR="0067014E" w:rsidRPr="00394000" w:rsidRDefault="0067014E" w:rsidP="00483464">
      <w:pPr>
        <w:ind w:left="360"/>
        <w:jc w:val="both"/>
        <w:rPr>
          <w:rFonts w:ascii="Arial" w:hAnsi="Arial" w:cs="Arial"/>
        </w:rPr>
      </w:pPr>
    </w:p>
    <w:p w:rsidR="0067014E" w:rsidRPr="00394000" w:rsidRDefault="0067014E" w:rsidP="001F2445">
      <w:pPr>
        <w:numPr>
          <w:ilvl w:val="0"/>
          <w:numId w:val="6"/>
        </w:numPr>
        <w:jc w:val="both"/>
        <w:rPr>
          <w:rFonts w:ascii="Arial" w:hAnsi="Arial" w:cs="Arial"/>
        </w:rPr>
      </w:pPr>
      <w:proofErr w:type="spellStart"/>
      <w:r w:rsidRPr="00394000">
        <w:rPr>
          <w:rFonts w:ascii="Arial" w:hAnsi="Arial" w:cs="Arial"/>
          <w:b/>
        </w:rPr>
        <w:t>Pavley</w:t>
      </w:r>
      <w:proofErr w:type="spellEnd"/>
      <w:r w:rsidRPr="00394000">
        <w:rPr>
          <w:rFonts w:ascii="Arial" w:hAnsi="Arial" w:cs="Arial"/>
          <w:b/>
        </w:rPr>
        <w:t>/LCF</w:t>
      </w:r>
      <w:r w:rsidRPr="00394000">
        <w:rPr>
          <w:rFonts w:ascii="Arial" w:hAnsi="Arial" w:cs="Arial"/>
        </w:rPr>
        <w:t xml:space="preserve"> - 2010 Provisional Targets </w:t>
      </w:r>
      <w:r>
        <w:rPr>
          <w:rFonts w:ascii="Arial" w:hAnsi="Arial" w:cs="Arial"/>
        </w:rPr>
        <w:t>do not</w:t>
      </w:r>
      <w:r w:rsidRPr="00394000">
        <w:rPr>
          <w:rFonts w:ascii="Arial" w:hAnsi="Arial" w:cs="Arial"/>
        </w:rPr>
        <w:t xml:space="preserve"> include </w:t>
      </w:r>
      <w:proofErr w:type="spellStart"/>
      <w:proofErr w:type="gramStart"/>
      <w:r w:rsidRPr="00394000">
        <w:rPr>
          <w:rFonts w:ascii="Arial" w:hAnsi="Arial" w:cs="Arial"/>
        </w:rPr>
        <w:t>Pavely</w:t>
      </w:r>
      <w:proofErr w:type="spellEnd"/>
      <w:proofErr w:type="gramEnd"/>
      <w:r w:rsidRPr="00394000">
        <w:rPr>
          <w:rFonts w:ascii="Arial" w:hAnsi="Arial" w:cs="Arial"/>
        </w:rPr>
        <w:t xml:space="preserve"> and Low Carbon Fuels standards as required by SB 375.</w:t>
      </w:r>
      <w:r w:rsidRPr="00B46AB3">
        <w:rPr>
          <w:rFonts w:ascii="Arial" w:hAnsi="Arial" w:cs="Arial"/>
          <w:b/>
        </w:rPr>
        <w:t xml:space="preserve"> </w:t>
      </w:r>
      <w:r w:rsidRPr="00394000">
        <w:rPr>
          <w:rFonts w:ascii="Arial" w:hAnsi="Arial" w:cs="Arial"/>
          <w:b/>
        </w:rPr>
        <w:t>Recommendation:</w:t>
      </w:r>
      <w:r>
        <w:rPr>
          <w:rFonts w:ascii="Arial" w:hAnsi="Arial" w:cs="Arial"/>
          <w:b/>
        </w:rPr>
        <w:t xml:space="preserve">  </w:t>
      </w:r>
      <w:r>
        <w:rPr>
          <w:rFonts w:ascii="Arial" w:hAnsi="Arial" w:cs="Arial"/>
        </w:rPr>
        <w:t xml:space="preserve">Provide Targets that include the emission savings provided by technology gains from </w:t>
      </w:r>
      <w:proofErr w:type="spellStart"/>
      <w:proofErr w:type="gramStart"/>
      <w:r>
        <w:rPr>
          <w:rFonts w:ascii="Arial" w:hAnsi="Arial" w:cs="Arial"/>
        </w:rPr>
        <w:t>Pavely</w:t>
      </w:r>
      <w:proofErr w:type="spellEnd"/>
      <w:proofErr w:type="gramEnd"/>
      <w:r>
        <w:rPr>
          <w:rFonts w:ascii="Arial" w:hAnsi="Arial" w:cs="Arial"/>
        </w:rPr>
        <w:t xml:space="preserve"> and Low Carbon Fuels efforts statewide.</w:t>
      </w:r>
    </w:p>
    <w:p w:rsidR="0067014E" w:rsidRDefault="0067014E" w:rsidP="00483464">
      <w:pPr>
        <w:jc w:val="both"/>
        <w:rPr>
          <w:rFonts w:ascii="Arial" w:hAnsi="Arial" w:cs="Arial"/>
        </w:rPr>
      </w:pPr>
    </w:p>
    <w:p w:rsidR="0067014E" w:rsidRDefault="0067014E" w:rsidP="00483464">
      <w:pPr>
        <w:jc w:val="both"/>
        <w:rPr>
          <w:rFonts w:ascii="Arial" w:hAnsi="Arial" w:cs="Arial"/>
        </w:rPr>
      </w:pPr>
      <w:r>
        <w:rPr>
          <w:rFonts w:ascii="Arial" w:hAnsi="Arial" w:cs="Arial"/>
        </w:rPr>
        <w:t xml:space="preserve">Kern COG is supportive of CARBs efforts to work with the 8-Valley MPOs and to provide more time to improve information being provided in your bottom-up approach to target setting. </w:t>
      </w:r>
    </w:p>
    <w:p w:rsidR="00084F58" w:rsidRPr="00773A94" w:rsidRDefault="00084F58" w:rsidP="00E944F7">
      <w:pPr>
        <w:pStyle w:val="BodyText"/>
        <w:rPr>
          <w:szCs w:val="20"/>
        </w:rPr>
      </w:pPr>
    </w:p>
    <w:sectPr w:rsidR="00084F58" w:rsidRPr="00773A94" w:rsidSect="001F1658">
      <w:footerReference w:type="even" r:id="rId8"/>
      <w:footerReference w:type="default" r:id="rId9"/>
      <w:type w:val="continuous"/>
      <w:pgSz w:w="12240" w:h="15840" w:code="1"/>
      <w:pgMar w:top="1440" w:right="1620" w:bottom="1440" w:left="1440" w:header="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FC2" w:rsidRDefault="00100FC2">
      <w:r>
        <w:separator/>
      </w:r>
    </w:p>
  </w:endnote>
  <w:endnote w:type="continuationSeparator" w:id="0">
    <w:p w:rsidR="00100FC2" w:rsidRDefault="0010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C2" w:rsidRDefault="00A13D27" w:rsidP="00C75D06">
    <w:pPr>
      <w:pStyle w:val="Footer"/>
      <w:framePr w:wrap="around" w:vAnchor="text" w:hAnchor="margin" w:xAlign="center" w:y="1"/>
      <w:rPr>
        <w:rStyle w:val="PageNumber"/>
      </w:rPr>
    </w:pPr>
    <w:r>
      <w:rPr>
        <w:rStyle w:val="PageNumber"/>
      </w:rPr>
      <w:fldChar w:fldCharType="begin"/>
    </w:r>
    <w:r w:rsidR="00100FC2">
      <w:rPr>
        <w:rStyle w:val="PageNumber"/>
      </w:rPr>
      <w:instrText xml:space="preserve">PAGE  </w:instrText>
    </w:r>
    <w:r>
      <w:rPr>
        <w:rStyle w:val="PageNumber"/>
      </w:rPr>
      <w:fldChar w:fldCharType="end"/>
    </w:r>
  </w:p>
  <w:p w:rsidR="00100FC2" w:rsidRDefault="00100FC2" w:rsidP="00A44E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C2" w:rsidRPr="00A44E97" w:rsidRDefault="00A13D27" w:rsidP="00C75D06">
    <w:pPr>
      <w:pStyle w:val="Footer"/>
      <w:framePr w:wrap="around" w:vAnchor="text" w:hAnchor="margin" w:xAlign="center" w:y="1"/>
      <w:rPr>
        <w:rStyle w:val="PageNumber"/>
        <w:rFonts w:ascii="Arial" w:hAnsi="Arial" w:cs="Arial"/>
        <w:sz w:val="20"/>
        <w:szCs w:val="20"/>
      </w:rPr>
    </w:pPr>
    <w:r w:rsidRPr="00A44E97">
      <w:rPr>
        <w:rStyle w:val="PageNumber"/>
        <w:rFonts w:ascii="Arial" w:hAnsi="Arial" w:cs="Arial"/>
        <w:sz w:val="20"/>
        <w:szCs w:val="20"/>
      </w:rPr>
      <w:fldChar w:fldCharType="begin"/>
    </w:r>
    <w:r w:rsidR="00100FC2" w:rsidRPr="00A44E97">
      <w:rPr>
        <w:rStyle w:val="PageNumber"/>
        <w:rFonts w:ascii="Arial" w:hAnsi="Arial" w:cs="Arial"/>
        <w:sz w:val="20"/>
        <w:szCs w:val="20"/>
      </w:rPr>
      <w:instrText xml:space="preserve">PAGE  </w:instrText>
    </w:r>
    <w:r w:rsidRPr="00A44E97">
      <w:rPr>
        <w:rStyle w:val="PageNumber"/>
        <w:rFonts w:ascii="Arial" w:hAnsi="Arial" w:cs="Arial"/>
        <w:sz w:val="20"/>
        <w:szCs w:val="20"/>
      </w:rPr>
      <w:fldChar w:fldCharType="separate"/>
    </w:r>
    <w:r w:rsidR="00C511D4">
      <w:rPr>
        <w:rStyle w:val="PageNumber"/>
        <w:rFonts w:ascii="Arial" w:hAnsi="Arial" w:cs="Arial"/>
        <w:noProof/>
        <w:sz w:val="20"/>
        <w:szCs w:val="20"/>
      </w:rPr>
      <w:t>2</w:t>
    </w:r>
    <w:r w:rsidRPr="00A44E97">
      <w:rPr>
        <w:rStyle w:val="PageNumber"/>
        <w:rFonts w:ascii="Arial" w:hAnsi="Arial" w:cs="Arial"/>
        <w:sz w:val="20"/>
        <w:szCs w:val="20"/>
      </w:rPr>
      <w:fldChar w:fldCharType="end"/>
    </w:r>
  </w:p>
  <w:p w:rsidR="00100FC2" w:rsidRDefault="00100FC2" w:rsidP="00C75D06">
    <w:pPr>
      <w:tabs>
        <w:tab w:val="left" w:pos="5475"/>
      </w:tabs>
      <w:spacing w:before="140" w:line="100" w:lineRule="exact"/>
      <w:ind w:right="360"/>
      <w:rPr>
        <w:rFonts w:ascii="Arial" w:hAnsi="Arial" w:cs="Arial"/>
        <w:sz w:val="20"/>
        <w:szCs w:val="10"/>
      </w:rPr>
    </w:pPr>
    <w:r>
      <w:rPr>
        <w:rFonts w:ascii="Arial" w:hAnsi="Arial" w:cs="Arial"/>
        <w:sz w:val="2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FC2" w:rsidRDefault="00100FC2">
      <w:r>
        <w:separator/>
      </w:r>
    </w:p>
  </w:footnote>
  <w:footnote w:type="continuationSeparator" w:id="0">
    <w:p w:rsidR="00100FC2" w:rsidRDefault="00100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96A"/>
    <w:multiLevelType w:val="hybridMultilevel"/>
    <w:tmpl w:val="65B8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90ADD"/>
    <w:multiLevelType w:val="hybridMultilevel"/>
    <w:tmpl w:val="C3A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F2664"/>
    <w:multiLevelType w:val="hybridMultilevel"/>
    <w:tmpl w:val="FFF61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F1E84"/>
    <w:multiLevelType w:val="hybridMultilevel"/>
    <w:tmpl w:val="7146140C"/>
    <w:lvl w:ilvl="0" w:tplc="2140FCB0">
      <w:start w:val="2"/>
      <w:numFmt w:val="upperRoman"/>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151E60"/>
    <w:multiLevelType w:val="hybridMultilevel"/>
    <w:tmpl w:val="FFFAD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A9036D"/>
    <w:multiLevelType w:val="hybridMultilevel"/>
    <w:tmpl w:val="60A61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5AE69CB"/>
    <w:multiLevelType w:val="hybridMultilevel"/>
    <w:tmpl w:val="98DE18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317198"/>
    <w:multiLevelType w:val="hybridMultilevel"/>
    <w:tmpl w:val="9F1431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7"/>
  </w:num>
  <w:num w:numId="5">
    <w:abstractNumId w:val="2"/>
  </w:num>
  <w:num w:numId="6">
    <w:abstractNumId w:val="6"/>
  </w:num>
  <w:num w:numId="7">
    <w:abstractNumId w:val="4"/>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70E"/>
    <w:rsid w:val="0000076F"/>
    <w:rsid w:val="000023C1"/>
    <w:rsid w:val="0000373D"/>
    <w:rsid w:val="00010932"/>
    <w:rsid w:val="00023BF0"/>
    <w:rsid w:val="000278F8"/>
    <w:rsid w:val="000303CC"/>
    <w:rsid w:val="000332FA"/>
    <w:rsid w:val="00043CC9"/>
    <w:rsid w:val="00046BDD"/>
    <w:rsid w:val="00056F20"/>
    <w:rsid w:val="00060694"/>
    <w:rsid w:val="000644E3"/>
    <w:rsid w:val="0006608C"/>
    <w:rsid w:val="00073CC0"/>
    <w:rsid w:val="00074435"/>
    <w:rsid w:val="00081383"/>
    <w:rsid w:val="00081FE8"/>
    <w:rsid w:val="00084459"/>
    <w:rsid w:val="00084F58"/>
    <w:rsid w:val="00093B61"/>
    <w:rsid w:val="0009642F"/>
    <w:rsid w:val="0009782D"/>
    <w:rsid w:val="00097A95"/>
    <w:rsid w:val="000A12F8"/>
    <w:rsid w:val="000A36EE"/>
    <w:rsid w:val="000A6C16"/>
    <w:rsid w:val="000A6FA8"/>
    <w:rsid w:val="000C189F"/>
    <w:rsid w:val="000C628A"/>
    <w:rsid w:val="000D1210"/>
    <w:rsid w:val="000D1C62"/>
    <w:rsid w:val="000D5C54"/>
    <w:rsid w:val="000E0C87"/>
    <w:rsid w:val="000F0681"/>
    <w:rsid w:val="000F3BF2"/>
    <w:rsid w:val="00100FC2"/>
    <w:rsid w:val="00105EC5"/>
    <w:rsid w:val="00106421"/>
    <w:rsid w:val="0011338F"/>
    <w:rsid w:val="00113444"/>
    <w:rsid w:val="0012031A"/>
    <w:rsid w:val="001279CA"/>
    <w:rsid w:val="0015244B"/>
    <w:rsid w:val="00157428"/>
    <w:rsid w:val="00170EA3"/>
    <w:rsid w:val="0017106C"/>
    <w:rsid w:val="00171680"/>
    <w:rsid w:val="00172CF0"/>
    <w:rsid w:val="00173F3D"/>
    <w:rsid w:val="001754FB"/>
    <w:rsid w:val="001832FC"/>
    <w:rsid w:val="00186745"/>
    <w:rsid w:val="00187876"/>
    <w:rsid w:val="00187D26"/>
    <w:rsid w:val="001B5BEC"/>
    <w:rsid w:val="001B6B20"/>
    <w:rsid w:val="001C4992"/>
    <w:rsid w:val="001C7603"/>
    <w:rsid w:val="001D0CD0"/>
    <w:rsid w:val="001D3EE8"/>
    <w:rsid w:val="001D651C"/>
    <w:rsid w:val="001E74CE"/>
    <w:rsid w:val="001F0510"/>
    <w:rsid w:val="001F1658"/>
    <w:rsid w:val="001F2445"/>
    <w:rsid w:val="001F7777"/>
    <w:rsid w:val="001F7C3D"/>
    <w:rsid w:val="00203C84"/>
    <w:rsid w:val="00205DD3"/>
    <w:rsid w:val="00210D45"/>
    <w:rsid w:val="00210D96"/>
    <w:rsid w:val="00211BE7"/>
    <w:rsid w:val="0021373E"/>
    <w:rsid w:val="00214A1F"/>
    <w:rsid w:val="0022503E"/>
    <w:rsid w:val="002257EE"/>
    <w:rsid w:val="002262DC"/>
    <w:rsid w:val="00241D3A"/>
    <w:rsid w:val="00245B09"/>
    <w:rsid w:val="002547D0"/>
    <w:rsid w:val="002636C9"/>
    <w:rsid w:val="00264823"/>
    <w:rsid w:val="002701D0"/>
    <w:rsid w:val="00274BB8"/>
    <w:rsid w:val="0027781B"/>
    <w:rsid w:val="002811A9"/>
    <w:rsid w:val="00282991"/>
    <w:rsid w:val="00284BD3"/>
    <w:rsid w:val="002960C6"/>
    <w:rsid w:val="002A0BFF"/>
    <w:rsid w:val="002B23B8"/>
    <w:rsid w:val="002C0F11"/>
    <w:rsid w:val="002D1342"/>
    <w:rsid w:val="002D54CF"/>
    <w:rsid w:val="002D7051"/>
    <w:rsid w:val="002E196B"/>
    <w:rsid w:val="002E1D56"/>
    <w:rsid w:val="002E340D"/>
    <w:rsid w:val="002E4663"/>
    <w:rsid w:val="002E573A"/>
    <w:rsid w:val="002E7065"/>
    <w:rsid w:val="002F20B4"/>
    <w:rsid w:val="00300307"/>
    <w:rsid w:val="00305C87"/>
    <w:rsid w:val="00312B6F"/>
    <w:rsid w:val="00313910"/>
    <w:rsid w:val="00324FEE"/>
    <w:rsid w:val="003276EC"/>
    <w:rsid w:val="00330712"/>
    <w:rsid w:val="00333152"/>
    <w:rsid w:val="00336383"/>
    <w:rsid w:val="00341C8B"/>
    <w:rsid w:val="00345308"/>
    <w:rsid w:val="003475CF"/>
    <w:rsid w:val="00347CE1"/>
    <w:rsid w:val="0035676A"/>
    <w:rsid w:val="00357006"/>
    <w:rsid w:val="0036002F"/>
    <w:rsid w:val="0037486B"/>
    <w:rsid w:val="003877C5"/>
    <w:rsid w:val="00391F2D"/>
    <w:rsid w:val="00394D69"/>
    <w:rsid w:val="003A3266"/>
    <w:rsid w:val="003A4D2B"/>
    <w:rsid w:val="003A6794"/>
    <w:rsid w:val="003A79D0"/>
    <w:rsid w:val="003A7ECD"/>
    <w:rsid w:val="003B2496"/>
    <w:rsid w:val="003B7E96"/>
    <w:rsid w:val="003C03F5"/>
    <w:rsid w:val="003C0764"/>
    <w:rsid w:val="003C2D4A"/>
    <w:rsid w:val="003C63CF"/>
    <w:rsid w:val="003C675F"/>
    <w:rsid w:val="003D4B64"/>
    <w:rsid w:val="003D594B"/>
    <w:rsid w:val="003D6F86"/>
    <w:rsid w:val="003E2960"/>
    <w:rsid w:val="003E40DE"/>
    <w:rsid w:val="003E5988"/>
    <w:rsid w:val="003E5A37"/>
    <w:rsid w:val="003E6AA7"/>
    <w:rsid w:val="003F255F"/>
    <w:rsid w:val="003F2B10"/>
    <w:rsid w:val="003F42A0"/>
    <w:rsid w:val="004014F1"/>
    <w:rsid w:val="00401C9E"/>
    <w:rsid w:val="00405A4D"/>
    <w:rsid w:val="004068A2"/>
    <w:rsid w:val="00410753"/>
    <w:rsid w:val="00411BD8"/>
    <w:rsid w:val="004177DF"/>
    <w:rsid w:val="00422754"/>
    <w:rsid w:val="00424B12"/>
    <w:rsid w:val="00425488"/>
    <w:rsid w:val="00430FF2"/>
    <w:rsid w:val="004377AD"/>
    <w:rsid w:val="0046044F"/>
    <w:rsid w:val="004606CD"/>
    <w:rsid w:val="00462572"/>
    <w:rsid w:val="00466A74"/>
    <w:rsid w:val="00467C33"/>
    <w:rsid w:val="00467D1F"/>
    <w:rsid w:val="0047329B"/>
    <w:rsid w:val="00476E1D"/>
    <w:rsid w:val="004815D9"/>
    <w:rsid w:val="00483464"/>
    <w:rsid w:val="00483E1A"/>
    <w:rsid w:val="00485296"/>
    <w:rsid w:val="00487C1F"/>
    <w:rsid w:val="004A1B47"/>
    <w:rsid w:val="004A5C94"/>
    <w:rsid w:val="004A74BA"/>
    <w:rsid w:val="004B2A06"/>
    <w:rsid w:val="004C4C1B"/>
    <w:rsid w:val="004D1FA0"/>
    <w:rsid w:val="004D34C7"/>
    <w:rsid w:val="004D3CE8"/>
    <w:rsid w:val="004E1605"/>
    <w:rsid w:val="004E2D93"/>
    <w:rsid w:val="004E3D2F"/>
    <w:rsid w:val="004F0A57"/>
    <w:rsid w:val="004F5AB6"/>
    <w:rsid w:val="00507BBE"/>
    <w:rsid w:val="00513F8C"/>
    <w:rsid w:val="00522F29"/>
    <w:rsid w:val="00535D39"/>
    <w:rsid w:val="00536813"/>
    <w:rsid w:val="00540C51"/>
    <w:rsid w:val="00545CC9"/>
    <w:rsid w:val="00547E29"/>
    <w:rsid w:val="00565B64"/>
    <w:rsid w:val="00572077"/>
    <w:rsid w:val="0057207B"/>
    <w:rsid w:val="00573685"/>
    <w:rsid w:val="005804B5"/>
    <w:rsid w:val="00580A66"/>
    <w:rsid w:val="005831C9"/>
    <w:rsid w:val="005854AC"/>
    <w:rsid w:val="005A2AB2"/>
    <w:rsid w:val="005B3338"/>
    <w:rsid w:val="005B7BE2"/>
    <w:rsid w:val="005C0115"/>
    <w:rsid w:val="005C19B0"/>
    <w:rsid w:val="005C4AC8"/>
    <w:rsid w:val="005C4BDA"/>
    <w:rsid w:val="005C7D6A"/>
    <w:rsid w:val="005D1469"/>
    <w:rsid w:val="005D69B2"/>
    <w:rsid w:val="005E214B"/>
    <w:rsid w:val="005E35A8"/>
    <w:rsid w:val="005E6F7C"/>
    <w:rsid w:val="005F0ACF"/>
    <w:rsid w:val="005F2AD8"/>
    <w:rsid w:val="005F3997"/>
    <w:rsid w:val="006158D8"/>
    <w:rsid w:val="006418BE"/>
    <w:rsid w:val="006459D3"/>
    <w:rsid w:val="00646240"/>
    <w:rsid w:val="006563E2"/>
    <w:rsid w:val="006575E0"/>
    <w:rsid w:val="006578E8"/>
    <w:rsid w:val="00664CBF"/>
    <w:rsid w:val="0066579A"/>
    <w:rsid w:val="0067014E"/>
    <w:rsid w:val="0067222B"/>
    <w:rsid w:val="00673590"/>
    <w:rsid w:val="006749F3"/>
    <w:rsid w:val="00681952"/>
    <w:rsid w:val="0068265E"/>
    <w:rsid w:val="006829AE"/>
    <w:rsid w:val="00691157"/>
    <w:rsid w:val="00691DC2"/>
    <w:rsid w:val="006937DC"/>
    <w:rsid w:val="006A1E5C"/>
    <w:rsid w:val="006A48FE"/>
    <w:rsid w:val="006B1076"/>
    <w:rsid w:val="006B40EE"/>
    <w:rsid w:val="006B4FD3"/>
    <w:rsid w:val="006B5614"/>
    <w:rsid w:val="006C3CDA"/>
    <w:rsid w:val="006D5F35"/>
    <w:rsid w:val="006E16A1"/>
    <w:rsid w:val="006E1F50"/>
    <w:rsid w:val="006E3874"/>
    <w:rsid w:val="006E479C"/>
    <w:rsid w:val="006F1247"/>
    <w:rsid w:val="006F54FB"/>
    <w:rsid w:val="006F742B"/>
    <w:rsid w:val="007140FC"/>
    <w:rsid w:val="007208F7"/>
    <w:rsid w:val="0072170D"/>
    <w:rsid w:val="00725D98"/>
    <w:rsid w:val="0072794E"/>
    <w:rsid w:val="00730A32"/>
    <w:rsid w:val="0073298C"/>
    <w:rsid w:val="0073398F"/>
    <w:rsid w:val="00736592"/>
    <w:rsid w:val="00745D8C"/>
    <w:rsid w:val="00745FAE"/>
    <w:rsid w:val="00750AAE"/>
    <w:rsid w:val="00752A01"/>
    <w:rsid w:val="00752F8D"/>
    <w:rsid w:val="00753990"/>
    <w:rsid w:val="00755FF2"/>
    <w:rsid w:val="00761A80"/>
    <w:rsid w:val="007654CE"/>
    <w:rsid w:val="00767187"/>
    <w:rsid w:val="00771C0B"/>
    <w:rsid w:val="007737A5"/>
    <w:rsid w:val="00773A94"/>
    <w:rsid w:val="00785CBB"/>
    <w:rsid w:val="0079322A"/>
    <w:rsid w:val="007963EC"/>
    <w:rsid w:val="007B28F7"/>
    <w:rsid w:val="007B6AED"/>
    <w:rsid w:val="007C032C"/>
    <w:rsid w:val="007C3B26"/>
    <w:rsid w:val="007D11D0"/>
    <w:rsid w:val="007E3D1D"/>
    <w:rsid w:val="007E6255"/>
    <w:rsid w:val="007E7678"/>
    <w:rsid w:val="007E7D48"/>
    <w:rsid w:val="007F5881"/>
    <w:rsid w:val="0081296E"/>
    <w:rsid w:val="0081752A"/>
    <w:rsid w:val="00821387"/>
    <w:rsid w:val="00833BE6"/>
    <w:rsid w:val="00855161"/>
    <w:rsid w:val="00857430"/>
    <w:rsid w:val="00870EFF"/>
    <w:rsid w:val="00871C0D"/>
    <w:rsid w:val="00872CBC"/>
    <w:rsid w:val="00882AEF"/>
    <w:rsid w:val="0088525D"/>
    <w:rsid w:val="008A09AF"/>
    <w:rsid w:val="008A4632"/>
    <w:rsid w:val="008A4CB9"/>
    <w:rsid w:val="008B50AF"/>
    <w:rsid w:val="008C7661"/>
    <w:rsid w:val="008D11CD"/>
    <w:rsid w:val="008F7068"/>
    <w:rsid w:val="0090279C"/>
    <w:rsid w:val="00903FB1"/>
    <w:rsid w:val="00913368"/>
    <w:rsid w:val="009142E5"/>
    <w:rsid w:val="00935901"/>
    <w:rsid w:val="00941001"/>
    <w:rsid w:val="00941532"/>
    <w:rsid w:val="009472BB"/>
    <w:rsid w:val="00953CE9"/>
    <w:rsid w:val="0096390E"/>
    <w:rsid w:val="0097187E"/>
    <w:rsid w:val="00976007"/>
    <w:rsid w:val="009839F3"/>
    <w:rsid w:val="00985340"/>
    <w:rsid w:val="00990656"/>
    <w:rsid w:val="00990F75"/>
    <w:rsid w:val="009914FD"/>
    <w:rsid w:val="00997B53"/>
    <w:rsid w:val="009A5489"/>
    <w:rsid w:val="009A76C7"/>
    <w:rsid w:val="009B3C85"/>
    <w:rsid w:val="009B69BB"/>
    <w:rsid w:val="009C1862"/>
    <w:rsid w:val="009C289F"/>
    <w:rsid w:val="009C29A5"/>
    <w:rsid w:val="009C5320"/>
    <w:rsid w:val="009C6C58"/>
    <w:rsid w:val="009D6EE6"/>
    <w:rsid w:val="009E2962"/>
    <w:rsid w:val="00A12633"/>
    <w:rsid w:val="00A13D27"/>
    <w:rsid w:val="00A2020E"/>
    <w:rsid w:val="00A204B8"/>
    <w:rsid w:val="00A22854"/>
    <w:rsid w:val="00A307B9"/>
    <w:rsid w:val="00A31CF1"/>
    <w:rsid w:val="00A321BC"/>
    <w:rsid w:val="00A35AB1"/>
    <w:rsid w:val="00A44E97"/>
    <w:rsid w:val="00A50FC2"/>
    <w:rsid w:val="00A56555"/>
    <w:rsid w:val="00A726C6"/>
    <w:rsid w:val="00A73130"/>
    <w:rsid w:val="00A9094F"/>
    <w:rsid w:val="00A93C55"/>
    <w:rsid w:val="00A966A3"/>
    <w:rsid w:val="00AA07DF"/>
    <w:rsid w:val="00AA2F7D"/>
    <w:rsid w:val="00AB6C6A"/>
    <w:rsid w:val="00AD0345"/>
    <w:rsid w:val="00AD0A4E"/>
    <w:rsid w:val="00AE2E7E"/>
    <w:rsid w:val="00AE6D20"/>
    <w:rsid w:val="00AF28D3"/>
    <w:rsid w:val="00AF4109"/>
    <w:rsid w:val="00B05836"/>
    <w:rsid w:val="00B117E5"/>
    <w:rsid w:val="00B21691"/>
    <w:rsid w:val="00B21B60"/>
    <w:rsid w:val="00B23323"/>
    <w:rsid w:val="00B33197"/>
    <w:rsid w:val="00B355D0"/>
    <w:rsid w:val="00B361C8"/>
    <w:rsid w:val="00B440D5"/>
    <w:rsid w:val="00B50579"/>
    <w:rsid w:val="00B51BF0"/>
    <w:rsid w:val="00B60617"/>
    <w:rsid w:val="00B62E64"/>
    <w:rsid w:val="00B6327D"/>
    <w:rsid w:val="00B64A3D"/>
    <w:rsid w:val="00B70F08"/>
    <w:rsid w:val="00B723B9"/>
    <w:rsid w:val="00B73528"/>
    <w:rsid w:val="00B847A2"/>
    <w:rsid w:val="00B90FBD"/>
    <w:rsid w:val="00B9756D"/>
    <w:rsid w:val="00BA2020"/>
    <w:rsid w:val="00BA53AD"/>
    <w:rsid w:val="00BA642B"/>
    <w:rsid w:val="00BA71E1"/>
    <w:rsid w:val="00BB26F7"/>
    <w:rsid w:val="00BB7DB0"/>
    <w:rsid w:val="00BC1266"/>
    <w:rsid w:val="00BC14FC"/>
    <w:rsid w:val="00BC6E3F"/>
    <w:rsid w:val="00BC7DD9"/>
    <w:rsid w:val="00BD1A4F"/>
    <w:rsid w:val="00BD2CB6"/>
    <w:rsid w:val="00BE43C8"/>
    <w:rsid w:val="00BE52E1"/>
    <w:rsid w:val="00BF4C05"/>
    <w:rsid w:val="00BF7C6A"/>
    <w:rsid w:val="00C00886"/>
    <w:rsid w:val="00C0183B"/>
    <w:rsid w:val="00C03B14"/>
    <w:rsid w:val="00C04338"/>
    <w:rsid w:val="00C07A37"/>
    <w:rsid w:val="00C12F17"/>
    <w:rsid w:val="00C15242"/>
    <w:rsid w:val="00C159B5"/>
    <w:rsid w:val="00C16E5A"/>
    <w:rsid w:val="00C17347"/>
    <w:rsid w:val="00C2025C"/>
    <w:rsid w:val="00C20CA7"/>
    <w:rsid w:val="00C23FAC"/>
    <w:rsid w:val="00C27823"/>
    <w:rsid w:val="00C31DE7"/>
    <w:rsid w:val="00C408E3"/>
    <w:rsid w:val="00C4173F"/>
    <w:rsid w:val="00C423BA"/>
    <w:rsid w:val="00C44F94"/>
    <w:rsid w:val="00C511D4"/>
    <w:rsid w:val="00C51456"/>
    <w:rsid w:val="00C536BF"/>
    <w:rsid w:val="00C546ED"/>
    <w:rsid w:val="00C57BDE"/>
    <w:rsid w:val="00C57CAE"/>
    <w:rsid w:val="00C7169D"/>
    <w:rsid w:val="00C75D06"/>
    <w:rsid w:val="00C963E3"/>
    <w:rsid w:val="00CA1225"/>
    <w:rsid w:val="00CA187A"/>
    <w:rsid w:val="00CB0560"/>
    <w:rsid w:val="00CB6AA7"/>
    <w:rsid w:val="00CD54B4"/>
    <w:rsid w:val="00CE1377"/>
    <w:rsid w:val="00CE3401"/>
    <w:rsid w:val="00CF12F7"/>
    <w:rsid w:val="00CF2C00"/>
    <w:rsid w:val="00CF2FE4"/>
    <w:rsid w:val="00CF3F99"/>
    <w:rsid w:val="00CF6880"/>
    <w:rsid w:val="00D00BF0"/>
    <w:rsid w:val="00D11B00"/>
    <w:rsid w:val="00D16757"/>
    <w:rsid w:val="00D23C74"/>
    <w:rsid w:val="00D264DE"/>
    <w:rsid w:val="00D3311E"/>
    <w:rsid w:val="00D33E57"/>
    <w:rsid w:val="00D4670E"/>
    <w:rsid w:val="00D53BF5"/>
    <w:rsid w:val="00D5451C"/>
    <w:rsid w:val="00D63F37"/>
    <w:rsid w:val="00D66521"/>
    <w:rsid w:val="00D74312"/>
    <w:rsid w:val="00D8069D"/>
    <w:rsid w:val="00D92C11"/>
    <w:rsid w:val="00DA12F2"/>
    <w:rsid w:val="00DA2AC6"/>
    <w:rsid w:val="00DB395C"/>
    <w:rsid w:val="00DB6123"/>
    <w:rsid w:val="00DC0F58"/>
    <w:rsid w:val="00DC10E0"/>
    <w:rsid w:val="00DC6358"/>
    <w:rsid w:val="00DD05E1"/>
    <w:rsid w:val="00DD30D0"/>
    <w:rsid w:val="00DD3E84"/>
    <w:rsid w:val="00DD42DF"/>
    <w:rsid w:val="00DE68B5"/>
    <w:rsid w:val="00E04D4E"/>
    <w:rsid w:val="00E06DFD"/>
    <w:rsid w:val="00E15C37"/>
    <w:rsid w:val="00E235A7"/>
    <w:rsid w:val="00E250C2"/>
    <w:rsid w:val="00E27B0F"/>
    <w:rsid w:val="00E30E36"/>
    <w:rsid w:val="00E4752C"/>
    <w:rsid w:val="00E50560"/>
    <w:rsid w:val="00E55118"/>
    <w:rsid w:val="00E572CF"/>
    <w:rsid w:val="00E57BEF"/>
    <w:rsid w:val="00E64944"/>
    <w:rsid w:val="00E71094"/>
    <w:rsid w:val="00E71133"/>
    <w:rsid w:val="00E72966"/>
    <w:rsid w:val="00E74CB2"/>
    <w:rsid w:val="00E82516"/>
    <w:rsid w:val="00E828AC"/>
    <w:rsid w:val="00E87CA4"/>
    <w:rsid w:val="00E944F7"/>
    <w:rsid w:val="00EA1EC7"/>
    <w:rsid w:val="00EA35B4"/>
    <w:rsid w:val="00EB07E1"/>
    <w:rsid w:val="00EB0EA7"/>
    <w:rsid w:val="00EB112D"/>
    <w:rsid w:val="00EB558E"/>
    <w:rsid w:val="00EC253C"/>
    <w:rsid w:val="00EC77DB"/>
    <w:rsid w:val="00ED172D"/>
    <w:rsid w:val="00EE3DA7"/>
    <w:rsid w:val="00EF5EE3"/>
    <w:rsid w:val="00F012B9"/>
    <w:rsid w:val="00F12071"/>
    <w:rsid w:val="00F129BD"/>
    <w:rsid w:val="00F207D6"/>
    <w:rsid w:val="00F239DB"/>
    <w:rsid w:val="00F25E8D"/>
    <w:rsid w:val="00F34337"/>
    <w:rsid w:val="00F35124"/>
    <w:rsid w:val="00F415E2"/>
    <w:rsid w:val="00F42DC5"/>
    <w:rsid w:val="00F456ED"/>
    <w:rsid w:val="00F53DEA"/>
    <w:rsid w:val="00F603FC"/>
    <w:rsid w:val="00F61181"/>
    <w:rsid w:val="00F66172"/>
    <w:rsid w:val="00F96F56"/>
    <w:rsid w:val="00F96F60"/>
    <w:rsid w:val="00FA1827"/>
    <w:rsid w:val="00FA718B"/>
    <w:rsid w:val="00FB5E49"/>
    <w:rsid w:val="00FC008C"/>
    <w:rsid w:val="00FC2309"/>
    <w:rsid w:val="00FC30E0"/>
    <w:rsid w:val="00FD73C7"/>
    <w:rsid w:val="00FE05A1"/>
    <w:rsid w:val="00FE1F90"/>
    <w:rsid w:val="00FE63D6"/>
    <w:rsid w:val="00FE6A40"/>
    <w:rsid w:val="00FF7F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0E"/>
    <w:rPr>
      <w:sz w:val="24"/>
      <w:szCs w:val="24"/>
    </w:rPr>
  </w:style>
  <w:style w:type="paragraph" w:styleId="Heading1">
    <w:name w:val="heading 1"/>
    <w:basedOn w:val="Normal"/>
    <w:next w:val="Normal"/>
    <w:link w:val="Heading1Char"/>
    <w:uiPriority w:val="99"/>
    <w:qFormat/>
    <w:rsid w:val="00D4670E"/>
    <w:pPr>
      <w:keepNext/>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B47"/>
    <w:rPr>
      <w:rFonts w:ascii="Cambria" w:hAnsi="Cambria" w:cs="Times New Roman"/>
      <w:b/>
      <w:bCs/>
      <w:kern w:val="32"/>
      <w:sz w:val="32"/>
      <w:szCs w:val="32"/>
    </w:rPr>
  </w:style>
  <w:style w:type="paragraph" w:styleId="BodyText">
    <w:name w:val="Body Text"/>
    <w:basedOn w:val="Normal"/>
    <w:link w:val="BodyTextChar"/>
    <w:uiPriority w:val="99"/>
    <w:rsid w:val="00D4670E"/>
    <w:rPr>
      <w:rFonts w:ascii="Arial" w:hAnsi="Arial" w:cs="Arial"/>
      <w:sz w:val="20"/>
    </w:rPr>
  </w:style>
  <w:style w:type="character" w:customStyle="1" w:styleId="BodyTextChar">
    <w:name w:val="Body Text Char"/>
    <w:basedOn w:val="DefaultParagraphFont"/>
    <w:link w:val="BodyText"/>
    <w:uiPriority w:val="99"/>
    <w:semiHidden/>
    <w:locked/>
    <w:rsid w:val="004A1B47"/>
    <w:rPr>
      <w:rFonts w:cs="Times New Roman"/>
      <w:sz w:val="24"/>
      <w:szCs w:val="24"/>
    </w:rPr>
  </w:style>
  <w:style w:type="character" w:styleId="PageNumber">
    <w:name w:val="page number"/>
    <w:basedOn w:val="DefaultParagraphFont"/>
    <w:uiPriority w:val="99"/>
    <w:rsid w:val="00D4670E"/>
    <w:rPr>
      <w:rFonts w:cs="Times New Roman"/>
    </w:rPr>
  </w:style>
  <w:style w:type="paragraph" w:styleId="Footer">
    <w:name w:val="footer"/>
    <w:basedOn w:val="Normal"/>
    <w:link w:val="FooterChar"/>
    <w:uiPriority w:val="99"/>
    <w:rsid w:val="00A44E97"/>
    <w:pPr>
      <w:tabs>
        <w:tab w:val="center" w:pos="4320"/>
        <w:tab w:val="right" w:pos="8640"/>
      </w:tabs>
    </w:pPr>
  </w:style>
  <w:style w:type="character" w:customStyle="1" w:styleId="FooterChar">
    <w:name w:val="Footer Char"/>
    <w:basedOn w:val="DefaultParagraphFont"/>
    <w:link w:val="Footer"/>
    <w:uiPriority w:val="99"/>
    <w:semiHidden/>
    <w:locked/>
    <w:rsid w:val="004A1B47"/>
    <w:rPr>
      <w:rFonts w:cs="Times New Roman"/>
      <w:sz w:val="24"/>
      <w:szCs w:val="24"/>
    </w:rPr>
  </w:style>
  <w:style w:type="paragraph" w:styleId="Header">
    <w:name w:val="header"/>
    <w:basedOn w:val="Normal"/>
    <w:link w:val="HeaderChar"/>
    <w:uiPriority w:val="99"/>
    <w:rsid w:val="00A44E97"/>
    <w:pPr>
      <w:tabs>
        <w:tab w:val="center" w:pos="4320"/>
        <w:tab w:val="right" w:pos="8640"/>
      </w:tabs>
    </w:pPr>
  </w:style>
  <w:style w:type="character" w:customStyle="1" w:styleId="HeaderChar">
    <w:name w:val="Header Char"/>
    <w:basedOn w:val="DefaultParagraphFont"/>
    <w:link w:val="Header"/>
    <w:uiPriority w:val="99"/>
    <w:semiHidden/>
    <w:locked/>
    <w:rsid w:val="004A1B47"/>
    <w:rPr>
      <w:rFonts w:cs="Times New Roman"/>
      <w:sz w:val="24"/>
      <w:szCs w:val="24"/>
    </w:rPr>
  </w:style>
  <w:style w:type="character" w:styleId="Hyperlink">
    <w:name w:val="Hyperlink"/>
    <w:basedOn w:val="DefaultParagraphFont"/>
    <w:uiPriority w:val="99"/>
    <w:rsid w:val="007963EC"/>
    <w:rPr>
      <w:rFonts w:cs="Times New Roman"/>
      <w:color w:val="0000FF"/>
      <w:u w:val="single"/>
    </w:rPr>
  </w:style>
  <w:style w:type="paragraph" w:styleId="BalloonText">
    <w:name w:val="Balloon Text"/>
    <w:basedOn w:val="Normal"/>
    <w:link w:val="BalloonTextChar"/>
    <w:uiPriority w:val="99"/>
    <w:semiHidden/>
    <w:rsid w:val="005368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B47"/>
    <w:rPr>
      <w:rFonts w:cs="Times New Roman"/>
      <w:sz w:val="2"/>
    </w:rPr>
  </w:style>
  <w:style w:type="paragraph" w:styleId="Title">
    <w:name w:val="Title"/>
    <w:basedOn w:val="Normal"/>
    <w:link w:val="TitleChar"/>
    <w:qFormat/>
    <w:rsid w:val="00BA2020"/>
    <w:pPr>
      <w:jc w:val="center"/>
    </w:pPr>
    <w:rPr>
      <w:rFonts w:ascii="Arial" w:hAnsi="Arial" w:cs="Arial"/>
      <w:b/>
      <w:bCs/>
    </w:rPr>
  </w:style>
  <w:style w:type="character" w:customStyle="1" w:styleId="TitleChar">
    <w:name w:val="Title Char"/>
    <w:basedOn w:val="DefaultParagraphFont"/>
    <w:link w:val="Title"/>
    <w:uiPriority w:val="99"/>
    <w:locked/>
    <w:rsid w:val="004A1B47"/>
    <w:rPr>
      <w:rFonts w:ascii="Cambria" w:hAnsi="Cambria" w:cs="Times New Roman"/>
      <w:b/>
      <w:bCs/>
      <w:kern w:val="28"/>
      <w:sz w:val="32"/>
      <w:szCs w:val="32"/>
    </w:rPr>
  </w:style>
  <w:style w:type="paragraph" w:styleId="ListParagraph">
    <w:name w:val="List Paragraph"/>
    <w:basedOn w:val="Normal"/>
    <w:uiPriority w:val="99"/>
    <w:qFormat/>
    <w:rsid w:val="00673590"/>
    <w:pPr>
      <w:ind w:left="720"/>
    </w:pPr>
  </w:style>
  <w:style w:type="paragraph" w:styleId="NormalWeb">
    <w:name w:val="Normal (Web)"/>
    <w:basedOn w:val="Normal"/>
    <w:uiPriority w:val="99"/>
    <w:rsid w:val="001D0CD0"/>
    <w:pPr>
      <w:spacing w:before="100" w:beforeAutospacing="1" w:after="100" w:afterAutospacing="1"/>
    </w:pPr>
  </w:style>
  <w:style w:type="table" w:styleId="TableGrid">
    <w:name w:val="Table Grid"/>
    <w:basedOn w:val="TableNormal"/>
    <w:uiPriority w:val="99"/>
    <w:rsid w:val="003600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F1658"/>
    <w:pPr>
      <w:spacing w:after="120" w:line="480" w:lineRule="auto"/>
    </w:pPr>
  </w:style>
  <w:style w:type="character" w:customStyle="1" w:styleId="BodyText2Char">
    <w:name w:val="Body Text 2 Char"/>
    <w:basedOn w:val="DefaultParagraphFont"/>
    <w:link w:val="BodyText2"/>
    <w:uiPriority w:val="99"/>
    <w:rsid w:val="001F16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354059">
      <w:bodyDiv w:val="1"/>
      <w:marLeft w:val="60"/>
      <w:marRight w:val="60"/>
      <w:marTop w:val="60"/>
      <w:marBottom w:val="15"/>
      <w:divBdr>
        <w:top w:val="none" w:sz="0" w:space="0" w:color="auto"/>
        <w:left w:val="none" w:sz="0" w:space="0" w:color="auto"/>
        <w:bottom w:val="none" w:sz="0" w:space="0" w:color="auto"/>
        <w:right w:val="none" w:sz="0" w:space="0" w:color="auto"/>
      </w:divBdr>
      <w:divsChild>
        <w:div w:id="688143068">
          <w:marLeft w:val="0"/>
          <w:marRight w:val="0"/>
          <w:marTop w:val="0"/>
          <w:marBottom w:val="0"/>
          <w:divBdr>
            <w:top w:val="none" w:sz="0" w:space="0" w:color="auto"/>
            <w:left w:val="none" w:sz="0" w:space="0" w:color="auto"/>
            <w:bottom w:val="none" w:sz="0" w:space="0" w:color="auto"/>
            <w:right w:val="none" w:sz="0" w:space="0" w:color="auto"/>
          </w:divBdr>
        </w:div>
        <w:div w:id="530266166">
          <w:marLeft w:val="0"/>
          <w:marRight w:val="0"/>
          <w:marTop w:val="0"/>
          <w:marBottom w:val="0"/>
          <w:divBdr>
            <w:top w:val="none" w:sz="0" w:space="0" w:color="auto"/>
            <w:left w:val="none" w:sz="0" w:space="0" w:color="auto"/>
            <w:bottom w:val="none" w:sz="0" w:space="0" w:color="auto"/>
            <w:right w:val="none" w:sz="0" w:space="0" w:color="auto"/>
          </w:divBdr>
        </w:div>
        <w:div w:id="2051224626">
          <w:marLeft w:val="0"/>
          <w:marRight w:val="0"/>
          <w:marTop w:val="0"/>
          <w:marBottom w:val="0"/>
          <w:divBdr>
            <w:top w:val="none" w:sz="0" w:space="0" w:color="auto"/>
            <w:left w:val="none" w:sz="0" w:space="0" w:color="auto"/>
            <w:bottom w:val="none" w:sz="0" w:space="0" w:color="auto"/>
            <w:right w:val="none" w:sz="0" w:space="0" w:color="auto"/>
          </w:divBdr>
        </w:div>
        <w:div w:id="1896426058">
          <w:marLeft w:val="0"/>
          <w:marRight w:val="0"/>
          <w:marTop w:val="0"/>
          <w:marBottom w:val="0"/>
          <w:divBdr>
            <w:top w:val="none" w:sz="0" w:space="0" w:color="auto"/>
            <w:left w:val="none" w:sz="0" w:space="0" w:color="auto"/>
            <w:bottom w:val="none" w:sz="0" w:space="0" w:color="auto"/>
            <w:right w:val="none" w:sz="0" w:space="0" w:color="auto"/>
          </w:divBdr>
        </w:div>
        <w:div w:id="1734615444">
          <w:marLeft w:val="0"/>
          <w:marRight w:val="0"/>
          <w:marTop w:val="0"/>
          <w:marBottom w:val="0"/>
          <w:divBdr>
            <w:top w:val="none" w:sz="0" w:space="0" w:color="auto"/>
            <w:left w:val="none" w:sz="0" w:space="0" w:color="auto"/>
            <w:bottom w:val="none" w:sz="0" w:space="0" w:color="auto"/>
            <w:right w:val="none" w:sz="0" w:space="0" w:color="auto"/>
          </w:divBdr>
        </w:div>
        <w:div w:id="772435640">
          <w:marLeft w:val="0"/>
          <w:marRight w:val="0"/>
          <w:marTop w:val="0"/>
          <w:marBottom w:val="0"/>
          <w:divBdr>
            <w:top w:val="none" w:sz="0" w:space="0" w:color="auto"/>
            <w:left w:val="none" w:sz="0" w:space="0" w:color="auto"/>
            <w:bottom w:val="none" w:sz="0" w:space="0" w:color="auto"/>
            <w:right w:val="none" w:sz="0" w:space="0" w:color="auto"/>
          </w:divBdr>
        </w:div>
        <w:div w:id="695541254">
          <w:marLeft w:val="0"/>
          <w:marRight w:val="0"/>
          <w:marTop w:val="0"/>
          <w:marBottom w:val="0"/>
          <w:divBdr>
            <w:top w:val="none" w:sz="0" w:space="0" w:color="auto"/>
            <w:left w:val="none" w:sz="0" w:space="0" w:color="auto"/>
            <w:bottom w:val="none" w:sz="0" w:space="0" w:color="auto"/>
            <w:right w:val="none" w:sz="0" w:space="0" w:color="auto"/>
          </w:divBdr>
        </w:div>
        <w:div w:id="1300720104">
          <w:marLeft w:val="0"/>
          <w:marRight w:val="0"/>
          <w:marTop w:val="0"/>
          <w:marBottom w:val="0"/>
          <w:divBdr>
            <w:top w:val="none" w:sz="0" w:space="0" w:color="auto"/>
            <w:left w:val="none" w:sz="0" w:space="0" w:color="auto"/>
            <w:bottom w:val="none" w:sz="0" w:space="0" w:color="auto"/>
            <w:right w:val="none" w:sz="0" w:space="0" w:color="auto"/>
          </w:divBdr>
        </w:div>
        <w:div w:id="124592562">
          <w:marLeft w:val="0"/>
          <w:marRight w:val="0"/>
          <w:marTop w:val="0"/>
          <w:marBottom w:val="0"/>
          <w:divBdr>
            <w:top w:val="none" w:sz="0" w:space="0" w:color="auto"/>
            <w:left w:val="none" w:sz="0" w:space="0" w:color="auto"/>
            <w:bottom w:val="none" w:sz="0" w:space="0" w:color="auto"/>
            <w:right w:val="none" w:sz="0" w:space="0" w:color="auto"/>
          </w:divBdr>
        </w:div>
        <w:div w:id="694505155">
          <w:marLeft w:val="0"/>
          <w:marRight w:val="0"/>
          <w:marTop w:val="0"/>
          <w:marBottom w:val="0"/>
          <w:divBdr>
            <w:top w:val="none" w:sz="0" w:space="0" w:color="auto"/>
            <w:left w:val="none" w:sz="0" w:space="0" w:color="auto"/>
            <w:bottom w:val="none" w:sz="0" w:space="0" w:color="auto"/>
            <w:right w:val="none" w:sz="0" w:space="0" w:color="auto"/>
          </w:divBdr>
        </w:div>
        <w:div w:id="939992423">
          <w:marLeft w:val="0"/>
          <w:marRight w:val="0"/>
          <w:marTop w:val="0"/>
          <w:marBottom w:val="0"/>
          <w:divBdr>
            <w:top w:val="none" w:sz="0" w:space="0" w:color="auto"/>
            <w:left w:val="none" w:sz="0" w:space="0" w:color="auto"/>
            <w:bottom w:val="none" w:sz="0" w:space="0" w:color="auto"/>
            <w:right w:val="none" w:sz="0" w:space="0" w:color="auto"/>
          </w:divBdr>
        </w:div>
        <w:div w:id="1691570123">
          <w:marLeft w:val="0"/>
          <w:marRight w:val="0"/>
          <w:marTop w:val="0"/>
          <w:marBottom w:val="0"/>
          <w:divBdr>
            <w:top w:val="none" w:sz="0" w:space="0" w:color="auto"/>
            <w:left w:val="none" w:sz="0" w:space="0" w:color="auto"/>
            <w:bottom w:val="none" w:sz="0" w:space="0" w:color="auto"/>
            <w:right w:val="none" w:sz="0" w:space="0" w:color="auto"/>
          </w:divBdr>
        </w:div>
        <w:div w:id="879123184">
          <w:marLeft w:val="0"/>
          <w:marRight w:val="0"/>
          <w:marTop w:val="0"/>
          <w:marBottom w:val="0"/>
          <w:divBdr>
            <w:top w:val="none" w:sz="0" w:space="0" w:color="auto"/>
            <w:left w:val="none" w:sz="0" w:space="0" w:color="auto"/>
            <w:bottom w:val="none" w:sz="0" w:space="0" w:color="auto"/>
            <w:right w:val="none" w:sz="0" w:space="0" w:color="auto"/>
          </w:divBdr>
        </w:div>
        <w:div w:id="1444766434">
          <w:marLeft w:val="0"/>
          <w:marRight w:val="0"/>
          <w:marTop w:val="0"/>
          <w:marBottom w:val="0"/>
          <w:divBdr>
            <w:top w:val="none" w:sz="0" w:space="0" w:color="auto"/>
            <w:left w:val="none" w:sz="0" w:space="0" w:color="auto"/>
            <w:bottom w:val="none" w:sz="0" w:space="0" w:color="auto"/>
            <w:right w:val="none" w:sz="0" w:space="0" w:color="auto"/>
          </w:divBdr>
        </w:div>
        <w:div w:id="556404800">
          <w:marLeft w:val="0"/>
          <w:marRight w:val="0"/>
          <w:marTop w:val="0"/>
          <w:marBottom w:val="0"/>
          <w:divBdr>
            <w:top w:val="none" w:sz="0" w:space="0" w:color="auto"/>
            <w:left w:val="none" w:sz="0" w:space="0" w:color="auto"/>
            <w:bottom w:val="none" w:sz="0" w:space="0" w:color="auto"/>
            <w:right w:val="none" w:sz="0" w:space="0" w:color="auto"/>
          </w:divBdr>
        </w:div>
        <w:div w:id="1748917236">
          <w:marLeft w:val="0"/>
          <w:marRight w:val="0"/>
          <w:marTop w:val="0"/>
          <w:marBottom w:val="0"/>
          <w:divBdr>
            <w:top w:val="none" w:sz="0" w:space="0" w:color="auto"/>
            <w:left w:val="none" w:sz="0" w:space="0" w:color="auto"/>
            <w:bottom w:val="none" w:sz="0" w:space="0" w:color="auto"/>
            <w:right w:val="none" w:sz="0" w:space="0" w:color="auto"/>
          </w:divBdr>
        </w:div>
        <w:div w:id="1155802736">
          <w:marLeft w:val="0"/>
          <w:marRight w:val="0"/>
          <w:marTop w:val="0"/>
          <w:marBottom w:val="0"/>
          <w:divBdr>
            <w:top w:val="none" w:sz="0" w:space="0" w:color="auto"/>
            <w:left w:val="none" w:sz="0" w:space="0" w:color="auto"/>
            <w:bottom w:val="none" w:sz="0" w:space="0" w:color="auto"/>
            <w:right w:val="none" w:sz="0" w:space="0" w:color="auto"/>
          </w:divBdr>
        </w:div>
        <w:div w:id="454372011">
          <w:marLeft w:val="0"/>
          <w:marRight w:val="0"/>
          <w:marTop w:val="0"/>
          <w:marBottom w:val="0"/>
          <w:divBdr>
            <w:top w:val="none" w:sz="0" w:space="0" w:color="auto"/>
            <w:left w:val="none" w:sz="0" w:space="0" w:color="auto"/>
            <w:bottom w:val="none" w:sz="0" w:space="0" w:color="auto"/>
            <w:right w:val="none" w:sz="0" w:space="0" w:color="auto"/>
          </w:divBdr>
        </w:div>
      </w:divsChild>
    </w:div>
    <w:div w:id="690061145">
      <w:marLeft w:val="0"/>
      <w:marRight w:val="0"/>
      <w:marTop w:val="0"/>
      <w:marBottom w:val="0"/>
      <w:divBdr>
        <w:top w:val="none" w:sz="0" w:space="0" w:color="auto"/>
        <w:left w:val="none" w:sz="0" w:space="0" w:color="auto"/>
        <w:bottom w:val="none" w:sz="0" w:space="0" w:color="auto"/>
        <w:right w:val="none" w:sz="0" w:space="0" w:color="auto"/>
      </w:divBdr>
      <w:divsChild>
        <w:div w:id="690061159">
          <w:marLeft w:val="0"/>
          <w:marRight w:val="0"/>
          <w:marTop w:val="0"/>
          <w:marBottom w:val="0"/>
          <w:divBdr>
            <w:top w:val="none" w:sz="0" w:space="0" w:color="auto"/>
            <w:left w:val="none" w:sz="0" w:space="0" w:color="auto"/>
            <w:bottom w:val="none" w:sz="0" w:space="0" w:color="auto"/>
            <w:right w:val="none" w:sz="0" w:space="0" w:color="auto"/>
          </w:divBdr>
          <w:divsChild>
            <w:div w:id="690061147">
              <w:marLeft w:val="0"/>
              <w:marRight w:val="0"/>
              <w:marTop w:val="0"/>
              <w:marBottom w:val="0"/>
              <w:divBdr>
                <w:top w:val="none" w:sz="0" w:space="0" w:color="auto"/>
                <w:left w:val="none" w:sz="0" w:space="0" w:color="auto"/>
                <w:bottom w:val="none" w:sz="0" w:space="0" w:color="auto"/>
                <w:right w:val="none" w:sz="0" w:space="0" w:color="auto"/>
              </w:divBdr>
            </w:div>
            <w:div w:id="690061151">
              <w:marLeft w:val="0"/>
              <w:marRight w:val="0"/>
              <w:marTop w:val="0"/>
              <w:marBottom w:val="0"/>
              <w:divBdr>
                <w:top w:val="none" w:sz="0" w:space="0" w:color="auto"/>
                <w:left w:val="none" w:sz="0" w:space="0" w:color="auto"/>
                <w:bottom w:val="none" w:sz="0" w:space="0" w:color="auto"/>
                <w:right w:val="none" w:sz="0" w:space="0" w:color="auto"/>
              </w:divBdr>
            </w:div>
            <w:div w:id="690061162">
              <w:marLeft w:val="0"/>
              <w:marRight w:val="0"/>
              <w:marTop w:val="0"/>
              <w:marBottom w:val="0"/>
              <w:divBdr>
                <w:top w:val="none" w:sz="0" w:space="0" w:color="auto"/>
                <w:left w:val="none" w:sz="0" w:space="0" w:color="auto"/>
                <w:bottom w:val="none" w:sz="0" w:space="0" w:color="auto"/>
                <w:right w:val="none" w:sz="0" w:space="0" w:color="auto"/>
              </w:divBdr>
            </w:div>
            <w:div w:id="6900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61146">
      <w:marLeft w:val="60"/>
      <w:marRight w:val="60"/>
      <w:marTop w:val="60"/>
      <w:marBottom w:val="15"/>
      <w:divBdr>
        <w:top w:val="none" w:sz="0" w:space="0" w:color="auto"/>
        <w:left w:val="none" w:sz="0" w:space="0" w:color="auto"/>
        <w:bottom w:val="none" w:sz="0" w:space="0" w:color="auto"/>
        <w:right w:val="none" w:sz="0" w:space="0" w:color="auto"/>
      </w:divBdr>
      <w:divsChild>
        <w:div w:id="690061150">
          <w:marLeft w:val="0"/>
          <w:marRight w:val="0"/>
          <w:marTop w:val="0"/>
          <w:marBottom w:val="0"/>
          <w:divBdr>
            <w:top w:val="none" w:sz="0" w:space="0" w:color="auto"/>
            <w:left w:val="none" w:sz="0" w:space="0" w:color="auto"/>
            <w:bottom w:val="none" w:sz="0" w:space="0" w:color="auto"/>
            <w:right w:val="none" w:sz="0" w:space="0" w:color="auto"/>
          </w:divBdr>
        </w:div>
        <w:div w:id="690061152">
          <w:marLeft w:val="0"/>
          <w:marRight w:val="0"/>
          <w:marTop w:val="0"/>
          <w:marBottom w:val="0"/>
          <w:divBdr>
            <w:top w:val="none" w:sz="0" w:space="0" w:color="auto"/>
            <w:left w:val="none" w:sz="0" w:space="0" w:color="auto"/>
            <w:bottom w:val="none" w:sz="0" w:space="0" w:color="auto"/>
            <w:right w:val="none" w:sz="0" w:space="0" w:color="auto"/>
          </w:divBdr>
        </w:div>
        <w:div w:id="690061167">
          <w:marLeft w:val="0"/>
          <w:marRight w:val="0"/>
          <w:marTop w:val="0"/>
          <w:marBottom w:val="0"/>
          <w:divBdr>
            <w:top w:val="none" w:sz="0" w:space="0" w:color="auto"/>
            <w:left w:val="none" w:sz="0" w:space="0" w:color="auto"/>
            <w:bottom w:val="none" w:sz="0" w:space="0" w:color="auto"/>
            <w:right w:val="none" w:sz="0" w:space="0" w:color="auto"/>
          </w:divBdr>
        </w:div>
        <w:div w:id="690061173">
          <w:marLeft w:val="0"/>
          <w:marRight w:val="0"/>
          <w:marTop w:val="0"/>
          <w:marBottom w:val="0"/>
          <w:divBdr>
            <w:top w:val="none" w:sz="0" w:space="0" w:color="auto"/>
            <w:left w:val="none" w:sz="0" w:space="0" w:color="auto"/>
            <w:bottom w:val="none" w:sz="0" w:space="0" w:color="auto"/>
            <w:right w:val="none" w:sz="0" w:space="0" w:color="auto"/>
          </w:divBdr>
        </w:div>
        <w:div w:id="690061179">
          <w:marLeft w:val="0"/>
          <w:marRight w:val="0"/>
          <w:marTop w:val="0"/>
          <w:marBottom w:val="0"/>
          <w:divBdr>
            <w:top w:val="none" w:sz="0" w:space="0" w:color="auto"/>
            <w:left w:val="none" w:sz="0" w:space="0" w:color="auto"/>
            <w:bottom w:val="none" w:sz="0" w:space="0" w:color="auto"/>
            <w:right w:val="none" w:sz="0" w:space="0" w:color="auto"/>
          </w:divBdr>
        </w:div>
      </w:divsChild>
    </w:div>
    <w:div w:id="690061149">
      <w:marLeft w:val="0"/>
      <w:marRight w:val="0"/>
      <w:marTop w:val="0"/>
      <w:marBottom w:val="0"/>
      <w:divBdr>
        <w:top w:val="none" w:sz="0" w:space="0" w:color="auto"/>
        <w:left w:val="none" w:sz="0" w:space="0" w:color="auto"/>
        <w:bottom w:val="none" w:sz="0" w:space="0" w:color="auto"/>
        <w:right w:val="none" w:sz="0" w:space="0" w:color="auto"/>
      </w:divBdr>
      <w:divsChild>
        <w:div w:id="690061165">
          <w:marLeft w:val="0"/>
          <w:marRight w:val="0"/>
          <w:marTop w:val="0"/>
          <w:marBottom w:val="0"/>
          <w:divBdr>
            <w:top w:val="none" w:sz="0" w:space="0" w:color="auto"/>
            <w:left w:val="none" w:sz="0" w:space="0" w:color="auto"/>
            <w:bottom w:val="none" w:sz="0" w:space="0" w:color="auto"/>
            <w:right w:val="none" w:sz="0" w:space="0" w:color="auto"/>
          </w:divBdr>
          <w:divsChild>
            <w:div w:id="690061148">
              <w:marLeft w:val="0"/>
              <w:marRight w:val="0"/>
              <w:marTop w:val="0"/>
              <w:marBottom w:val="0"/>
              <w:divBdr>
                <w:top w:val="none" w:sz="0" w:space="0" w:color="auto"/>
                <w:left w:val="none" w:sz="0" w:space="0" w:color="auto"/>
                <w:bottom w:val="none" w:sz="0" w:space="0" w:color="auto"/>
                <w:right w:val="none" w:sz="0" w:space="0" w:color="auto"/>
              </w:divBdr>
            </w:div>
            <w:div w:id="690061153">
              <w:marLeft w:val="0"/>
              <w:marRight w:val="0"/>
              <w:marTop w:val="0"/>
              <w:marBottom w:val="0"/>
              <w:divBdr>
                <w:top w:val="none" w:sz="0" w:space="0" w:color="auto"/>
                <w:left w:val="none" w:sz="0" w:space="0" w:color="auto"/>
                <w:bottom w:val="none" w:sz="0" w:space="0" w:color="auto"/>
                <w:right w:val="none" w:sz="0" w:space="0" w:color="auto"/>
              </w:divBdr>
            </w:div>
            <w:div w:id="690061160">
              <w:marLeft w:val="0"/>
              <w:marRight w:val="0"/>
              <w:marTop w:val="0"/>
              <w:marBottom w:val="0"/>
              <w:divBdr>
                <w:top w:val="none" w:sz="0" w:space="0" w:color="auto"/>
                <w:left w:val="none" w:sz="0" w:space="0" w:color="auto"/>
                <w:bottom w:val="none" w:sz="0" w:space="0" w:color="auto"/>
                <w:right w:val="none" w:sz="0" w:space="0" w:color="auto"/>
              </w:divBdr>
            </w:div>
            <w:div w:id="690061163">
              <w:marLeft w:val="0"/>
              <w:marRight w:val="0"/>
              <w:marTop w:val="0"/>
              <w:marBottom w:val="0"/>
              <w:divBdr>
                <w:top w:val="none" w:sz="0" w:space="0" w:color="auto"/>
                <w:left w:val="none" w:sz="0" w:space="0" w:color="auto"/>
                <w:bottom w:val="none" w:sz="0" w:space="0" w:color="auto"/>
                <w:right w:val="none" w:sz="0" w:space="0" w:color="auto"/>
              </w:divBdr>
            </w:div>
            <w:div w:id="690061170">
              <w:marLeft w:val="0"/>
              <w:marRight w:val="0"/>
              <w:marTop w:val="0"/>
              <w:marBottom w:val="0"/>
              <w:divBdr>
                <w:top w:val="none" w:sz="0" w:space="0" w:color="auto"/>
                <w:left w:val="none" w:sz="0" w:space="0" w:color="auto"/>
                <w:bottom w:val="none" w:sz="0" w:space="0" w:color="auto"/>
                <w:right w:val="none" w:sz="0" w:space="0" w:color="auto"/>
              </w:divBdr>
            </w:div>
            <w:div w:id="690061171">
              <w:marLeft w:val="0"/>
              <w:marRight w:val="0"/>
              <w:marTop w:val="0"/>
              <w:marBottom w:val="0"/>
              <w:divBdr>
                <w:top w:val="none" w:sz="0" w:space="0" w:color="auto"/>
                <w:left w:val="none" w:sz="0" w:space="0" w:color="auto"/>
                <w:bottom w:val="none" w:sz="0" w:space="0" w:color="auto"/>
                <w:right w:val="none" w:sz="0" w:space="0" w:color="auto"/>
              </w:divBdr>
            </w:div>
            <w:div w:id="690061172">
              <w:marLeft w:val="0"/>
              <w:marRight w:val="0"/>
              <w:marTop w:val="0"/>
              <w:marBottom w:val="0"/>
              <w:divBdr>
                <w:top w:val="none" w:sz="0" w:space="0" w:color="auto"/>
                <w:left w:val="none" w:sz="0" w:space="0" w:color="auto"/>
                <w:bottom w:val="none" w:sz="0" w:space="0" w:color="auto"/>
                <w:right w:val="none" w:sz="0" w:space="0" w:color="auto"/>
              </w:divBdr>
            </w:div>
            <w:div w:id="690061174">
              <w:marLeft w:val="0"/>
              <w:marRight w:val="0"/>
              <w:marTop w:val="0"/>
              <w:marBottom w:val="0"/>
              <w:divBdr>
                <w:top w:val="none" w:sz="0" w:space="0" w:color="auto"/>
                <w:left w:val="none" w:sz="0" w:space="0" w:color="auto"/>
                <w:bottom w:val="none" w:sz="0" w:space="0" w:color="auto"/>
                <w:right w:val="none" w:sz="0" w:space="0" w:color="auto"/>
              </w:divBdr>
            </w:div>
            <w:div w:id="690061177">
              <w:marLeft w:val="0"/>
              <w:marRight w:val="0"/>
              <w:marTop w:val="0"/>
              <w:marBottom w:val="0"/>
              <w:divBdr>
                <w:top w:val="none" w:sz="0" w:space="0" w:color="auto"/>
                <w:left w:val="none" w:sz="0" w:space="0" w:color="auto"/>
                <w:bottom w:val="none" w:sz="0" w:space="0" w:color="auto"/>
                <w:right w:val="none" w:sz="0" w:space="0" w:color="auto"/>
              </w:divBdr>
            </w:div>
            <w:div w:id="6900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61154">
      <w:marLeft w:val="0"/>
      <w:marRight w:val="0"/>
      <w:marTop w:val="0"/>
      <w:marBottom w:val="0"/>
      <w:divBdr>
        <w:top w:val="none" w:sz="0" w:space="0" w:color="auto"/>
        <w:left w:val="none" w:sz="0" w:space="0" w:color="auto"/>
        <w:bottom w:val="none" w:sz="0" w:space="0" w:color="auto"/>
        <w:right w:val="none" w:sz="0" w:space="0" w:color="auto"/>
      </w:divBdr>
    </w:div>
    <w:div w:id="690061158">
      <w:marLeft w:val="0"/>
      <w:marRight w:val="0"/>
      <w:marTop w:val="0"/>
      <w:marBottom w:val="0"/>
      <w:divBdr>
        <w:top w:val="none" w:sz="0" w:space="0" w:color="auto"/>
        <w:left w:val="none" w:sz="0" w:space="0" w:color="auto"/>
        <w:bottom w:val="none" w:sz="0" w:space="0" w:color="auto"/>
        <w:right w:val="none" w:sz="0" w:space="0" w:color="auto"/>
      </w:divBdr>
      <w:divsChild>
        <w:div w:id="690061156">
          <w:marLeft w:val="0"/>
          <w:marRight w:val="0"/>
          <w:marTop w:val="0"/>
          <w:marBottom w:val="0"/>
          <w:divBdr>
            <w:top w:val="none" w:sz="0" w:space="0" w:color="auto"/>
            <w:left w:val="none" w:sz="0" w:space="0" w:color="auto"/>
            <w:bottom w:val="none" w:sz="0" w:space="0" w:color="auto"/>
            <w:right w:val="none" w:sz="0" w:space="0" w:color="auto"/>
          </w:divBdr>
        </w:div>
      </w:divsChild>
    </w:div>
    <w:div w:id="690061161">
      <w:marLeft w:val="0"/>
      <w:marRight w:val="0"/>
      <w:marTop w:val="0"/>
      <w:marBottom w:val="0"/>
      <w:divBdr>
        <w:top w:val="none" w:sz="0" w:space="0" w:color="auto"/>
        <w:left w:val="none" w:sz="0" w:space="0" w:color="auto"/>
        <w:bottom w:val="none" w:sz="0" w:space="0" w:color="auto"/>
        <w:right w:val="none" w:sz="0" w:space="0" w:color="auto"/>
      </w:divBdr>
      <w:divsChild>
        <w:div w:id="690061166">
          <w:marLeft w:val="0"/>
          <w:marRight w:val="0"/>
          <w:marTop w:val="0"/>
          <w:marBottom w:val="0"/>
          <w:divBdr>
            <w:top w:val="none" w:sz="0" w:space="0" w:color="auto"/>
            <w:left w:val="none" w:sz="0" w:space="0" w:color="auto"/>
            <w:bottom w:val="none" w:sz="0" w:space="0" w:color="auto"/>
            <w:right w:val="none" w:sz="0" w:space="0" w:color="auto"/>
          </w:divBdr>
          <w:divsChild>
            <w:div w:id="690061155">
              <w:marLeft w:val="0"/>
              <w:marRight w:val="0"/>
              <w:marTop w:val="0"/>
              <w:marBottom w:val="0"/>
              <w:divBdr>
                <w:top w:val="none" w:sz="0" w:space="0" w:color="auto"/>
                <w:left w:val="none" w:sz="0" w:space="0" w:color="auto"/>
                <w:bottom w:val="none" w:sz="0" w:space="0" w:color="auto"/>
                <w:right w:val="none" w:sz="0" w:space="0" w:color="auto"/>
              </w:divBdr>
            </w:div>
            <w:div w:id="690061157">
              <w:marLeft w:val="0"/>
              <w:marRight w:val="0"/>
              <w:marTop w:val="0"/>
              <w:marBottom w:val="0"/>
              <w:divBdr>
                <w:top w:val="none" w:sz="0" w:space="0" w:color="auto"/>
                <w:left w:val="none" w:sz="0" w:space="0" w:color="auto"/>
                <w:bottom w:val="none" w:sz="0" w:space="0" w:color="auto"/>
                <w:right w:val="none" w:sz="0" w:space="0" w:color="auto"/>
              </w:divBdr>
            </w:div>
            <w:div w:id="690061164">
              <w:marLeft w:val="0"/>
              <w:marRight w:val="0"/>
              <w:marTop w:val="0"/>
              <w:marBottom w:val="0"/>
              <w:divBdr>
                <w:top w:val="none" w:sz="0" w:space="0" w:color="auto"/>
                <w:left w:val="none" w:sz="0" w:space="0" w:color="auto"/>
                <w:bottom w:val="none" w:sz="0" w:space="0" w:color="auto"/>
                <w:right w:val="none" w:sz="0" w:space="0" w:color="auto"/>
              </w:divBdr>
            </w:div>
            <w:div w:id="690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61175">
      <w:marLeft w:val="0"/>
      <w:marRight w:val="0"/>
      <w:marTop w:val="0"/>
      <w:marBottom w:val="0"/>
      <w:divBdr>
        <w:top w:val="none" w:sz="0" w:space="0" w:color="auto"/>
        <w:left w:val="none" w:sz="0" w:space="0" w:color="auto"/>
        <w:bottom w:val="none" w:sz="0" w:space="0" w:color="auto"/>
        <w:right w:val="none" w:sz="0" w:space="0" w:color="auto"/>
      </w:divBdr>
    </w:div>
    <w:div w:id="690061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rb.ca.gov/cc/sb375/sb37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1073</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CONGESTION MANAGEMENT PROGRAM ELEMENT</vt:lpstr>
    </vt:vector>
  </TitlesOfParts>
  <Company>Kern Council of Governments</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CONGESTION MANAGEMENT PROGRAM ELEMENT</dc:title>
  <dc:creator>ballr</dc:creator>
  <cp:lastModifiedBy>ballr</cp:lastModifiedBy>
  <cp:revision>2</cp:revision>
  <cp:lastPrinted>2010-09-07T20:06:00Z</cp:lastPrinted>
  <dcterms:created xsi:type="dcterms:W3CDTF">2010-09-13T23:54:00Z</dcterms:created>
  <dcterms:modified xsi:type="dcterms:W3CDTF">2010-09-13T23:54:00Z</dcterms:modified>
</cp:coreProperties>
</file>