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662" w:rsidRPr="003B3163" w:rsidRDefault="00BD511B" w:rsidP="00191662">
      <w:pPr>
        <w:tabs>
          <w:tab w:val="left" w:pos="11340"/>
        </w:tabs>
        <w:ind w:left="-414"/>
        <w:rPr>
          <w:sz w:val="22"/>
          <w:szCs w:val="22"/>
        </w:rPr>
      </w:pPr>
      <w:r w:rsidRPr="003B3163">
        <w:rPr>
          <w:sz w:val="22"/>
          <w:szCs w:val="22"/>
        </w:rPr>
        <w:t>December 1</w:t>
      </w:r>
      <w:r w:rsidR="00191662" w:rsidRPr="003B3163">
        <w:rPr>
          <w:sz w:val="22"/>
          <w:szCs w:val="22"/>
        </w:rPr>
        <w:t>, 2008</w:t>
      </w:r>
    </w:p>
    <w:p w:rsidR="00BD511B" w:rsidRDefault="00BD511B" w:rsidP="00191662">
      <w:pPr>
        <w:tabs>
          <w:tab w:val="left" w:pos="11340"/>
        </w:tabs>
        <w:ind w:left="-414"/>
        <w:rPr>
          <w:rFonts w:ascii="Arial" w:hAnsi="Arial"/>
          <w:szCs w:val="24"/>
        </w:rPr>
      </w:pPr>
    </w:p>
    <w:p w:rsidR="00BD511B" w:rsidRPr="008871E2" w:rsidRDefault="00BD511B" w:rsidP="00BD511B">
      <w:pPr>
        <w:rPr>
          <w:sz w:val="22"/>
          <w:szCs w:val="22"/>
        </w:rPr>
      </w:pPr>
      <w:r w:rsidRPr="008871E2">
        <w:rPr>
          <w:sz w:val="22"/>
          <w:szCs w:val="22"/>
        </w:rPr>
        <w:t xml:space="preserve">Comments to California Air Resources Board on the proposed, Statewide Truck and Bus Regulation regarding Proposed Idling Regulations under Title 13 </w:t>
      </w:r>
      <w:proofErr w:type="spellStart"/>
      <w:r w:rsidRPr="008871E2">
        <w:rPr>
          <w:sz w:val="22"/>
          <w:szCs w:val="22"/>
        </w:rPr>
        <w:t>CCR</w:t>
      </w:r>
      <w:proofErr w:type="spellEnd"/>
      <w:r w:rsidRPr="008871E2">
        <w:rPr>
          <w:sz w:val="22"/>
          <w:szCs w:val="22"/>
        </w:rPr>
        <w:t xml:space="preserve"> Sections 2485(d)(2)(M) and 1956.8(a)(6)(B)</w:t>
      </w:r>
    </w:p>
    <w:p w:rsidR="00BD511B" w:rsidRPr="008871E2" w:rsidRDefault="00BD511B" w:rsidP="00BD511B">
      <w:pPr>
        <w:rPr>
          <w:sz w:val="22"/>
          <w:szCs w:val="22"/>
        </w:rPr>
      </w:pPr>
    </w:p>
    <w:p w:rsidR="00BD511B" w:rsidRPr="008871E2" w:rsidRDefault="00BD511B" w:rsidP="00BD511B">
      <w:pPr>
        <w:framePr w:w="1440" w:h="120" w:hRule="exact" w:wrap="notBeside" w:vAnchor="page" w:hAnchor="page" w:x="361" w:y="541"/>
        <w:spacing w:line="120" w:lineRule="exact"/>
        <w:rPr>
          <w:sz w:val="22"/>
          <w:szCs w:val="22"/>
        </w:rPr>
      </w:pPr>
    </w:p>
    <w:p w:rsidR="00146935" w:rsidRPr="008871E2" w:rsidRDefault="00BD511B" w:rsidP="00BD511B">
      <w:pPr>
        <w:rPr>
          <w:sz w:val="22"/>
          <w:szCs w:val="22"/>
        </w:rPr>
      </w:pPr>
      <w:r w:rsidRPr="008871E2">
        <w:rPr>
          <w:sz w:val="22"/>
          <w:szCs w:val="22"/>
        </w:rPr>
        <w:t>Navistar, Inc appreciates the opportunity to provide comments to the Proposed</w:t>
      </w:r>
      <w:r w:rsidR="003B3163">
        <w:rPr>
          <w:sz w:val="22"/>
          <w:szCs w:val="22"/>
        </w:rPr>
        <w:t xml:space="preserve"> Regulation Order</w:t>
      </w:r>
      <w:r w:rsidRPr="008871E2">
        <w:rPr>
          <w:sz w:val="22"/>
          <w:szCs w:val="22"/>
        </w:rPr>
        <w:t xml:space="preserve">.  Further, Navistar supports and promotes efforts toward clean air and a safe environment.  </w:t>
      </w:r>
      <w:r w:rsidR="005F401B" w:rsidRPr="008871E2">
        <w:rPr>
          <w:sz w:val="22"/>
          <w:szCs w:val="22"/>
        </w:rPr>
        <w:t>As originally written, t</w:t>
      </w:r>
      <w:r w:rsidRPr="008871E2">
        <w:rPr>
          <w:sz w:val="22"/>
          <w:szCs w:val="22"/>
        </w:rPr>
        <w:t xml:space="preserve">he </w:t>
      </w:r>
      <w:r w:rsidR="005F401B" w:rsidRPr="008871E2">
        <w:rPr>
          <w:sz w:val="22"/>
          <w:szCs w:val="22"/>
        </w:rPr>
        <w:t xml:space="preserve">provisions and requirements of the </w:t>
      </w:r>
      <w:r w:rsidR="002E567C" w:rsidRPr="008871E2">
        <w:rPr>
          <w:sz w:val="22"/>
          <w:szCs w:val="22"/>
        </w:rPr>
        <w:t xml:space="preserve">Heavy Duty Diesel Idling Requirements and </w:t>
      </w:r>
      <w:r w:rsidR="005F401B" w:rsidRPr="008871E2">
        <w:rPr>
          <w:sz w:val="22"/>
          <w:szCs w:val="22"/>
        </w:rPr>
        <w:t>Automatic Engine Shutdown System (</w:t>
      </w:r>
      <w:proofErr w:type="spellStart"/>
      <w:r w:rsidR="005F401B" w:rsidRPr="008871E2">
        <w:rPr>
          <w:sz w:val="22"/>
          <w:szCs w:val="22"/>
        </w:rPr>
        <w:t>AESS</w:t>
      </w:r>
      <w:proofErr w:type="spellEnd"/>
      <w:r w:rsidR="005F401B" w:rsidRPr="008871E2">
        <w:rPr>
          <w:sz w:val="22"/>
          <w:szCs w:val="22"/>
        </w:rPr>
        <w:t>) overlooked an important vehicle type, armored cars,</w:t>
      </w:r>
      <w:r w:rsidR="002E567C" w:rsidRPr="008871E2">
        <w:rPr>
          <w:sz w:val="22"/>
          <w:szCs w:val="22"/>
        </w:rPr>
        <w:t xml:space="preserve"> </w:t>
      </w:r>
      <w:r w:rsidR="005F401B" w:rsidRPr="008871E2">
        <w:rPr>
          <w:sz w:val="22"/>
          <w:szCs w:val="22"/>
        </w:rPr>
        <w:t>for exemption to the rule.</w:t>
      </w:r>
      <w:r w:rsidR="002E567C" w:rsidRPr="008871E2">
        <w:rPr>
          <w:sz w:val="22"/>
          <w:szCs w:val="22"/>
        </w:rPr>
        <w:t xml:space="preserve">  </w:t>
      </w:r>
    </w:p>
    <w:p w:rsidR="00146935" w:rsidRPr="008871E2" w:rsidRDefault="00146935" w:rsidP="00BD511B">
      <w:pPr>
        <w:rPr>
          <w:sz w:val="22"/>
          <w:szCs w:val="22"/>
        </w:rPr>
      </w:pPr>
    </w:p>
    <w:p w:rsidR="005F401B" w:rsidRPr="008871E2" w:rsidRDefault="002E567C" w:rsidP="00BD511B">
      <w:pPr>
        <w:rPr>
          <w:sz w:val="22"/>
          <w:szCs w:val="22"/>
        </w:rPr>
      </w:pPr>
      <w:r w:rsidRPr="008871E2">
        <w:rPr>
          <w:sz w:val="22"/>
          <w:szCs w:val="22"/>
        </w:rPr>
        <w:t>Some manufacturers of vehicles</w:t>
      </w:r>
      <w:r w:rsidR="008871E2" w:rsidRPr="008871E2">
        <w:rPr>
          <w:sz w:val="22"/>
          <w:szCs w:val="22"/>
        </w:rPr>
        <w:t xml:space="preserve"> </w:t>
      </w:r>
      <w:r w:rsidRPr="008871E2">
        <w:rPr>
          <w:sz w:val="22"/>
          <w:szCs w:val="22"/>
        </w:rPr>
        <w:t xml:space="preserve">that are </w:t>
      </w:r>
      <w:r w:rsidR="008871E2" w:rsidRPr="008871E2">
        <w:rPr>
          <w:sz w:val="22"/>
          <w:szCs w:val="22"/>
        </w:rPr>
        <w:t xml:space="preserve">produced and ultimately </w:t>
      </w:r>
      <w:r w:rsidRPr="008871E2">
        <w:rPr>
          <w:sz w:val="22"/>
          <w:szCs w:val="22"/>
        </w:rPr>
        <w:t>used for build-up into armored cars would have no practical way to apply the infrastructure required to discriminate a chassis that was required to comply with the idle shutdown rule versus one that did not need to comply.  As such</w:t>
      </w:r>
      <w:r w:rsidR="008871E2" w:rsidRPr="008871E2">
        <w:rPr>
          <w:sz w:val="22"/>
          <w:szCs w:val="22"/>
        </w:rPr>
        <w:t>,</w:t>
      </w:r>
      <w:r w:rsidRPr="008871E2">
        <w:rPr>
          <w:sz w:val="22"/>
          <w:szCs w:val="22"/>
        </w:rPr>
        <w:t xml:space="preserve"> manufacturers and dealers would have incurred a costly burden of programming</w:t>
      </w:r>
      <w:r w:rsidR="00146935" w:rsidRPr="008871E2">
        <w:rPr>
          <w:sz w:val="22"/>
          <w:szCs w:val="22"/>
        </w:rPr>
        <w:t xml:space="preserve"> all engines to engage the idle shutdown,</w:t>
      </w:r>
      <w:r w:rsidRPr="008871E2">
        <w:rPr>
          <w:sz w:val="22"/>
          <w:szCs w:val="22"/>
        </w:rPr>
        <w:t xml:space="preserve"> and then “de-selecting” th</w:t>
      </w:r>
      <w:r w:rsidR="00146935" w:rsidRPr="008871E2">
        <w:rPr>
          <w:sz w:val="22"/>
          <w:szCs w:val="22"/>
        </w:rPr>
        <w:t>ose</w:t>
      </w:r>
      <w:r w:rsidRPr="008871E2">
        <w:rPr>
          <w:sz w:val="22"/>
          <w:szCs w:val="22"/>
        </w:rPr>
        <w:t xml:space="preserve"> settings</w:t>
      </w:r>
      <w:r w:rsidR="00146935" w:rsidRPr="008871E2">
        <w:rPr>
          <w:sz w:val="22"/>
          <w:szCs w:val="22"/>
        </w:rPr>
        <w:t xml:space="preserve"> </w:t>
      </w:r>
      <w:r w:rsidRPr="008871E2">
        <w:rPr>
          <w:sz w:val="22"/>
          <w:szCs w:val="22"/>
        </w:rPr>
        <w:t>once the truck was delivered to</w:t>
      </w:r>
      <w:r w:rsidR="00146935" w:rsidRPr="008871E2">
        <w:rPr>
          <w:sz w:val="22"/>
          <w:szCs w:val="22"/>
        </w:rPr>
        <w:t xml:space="preserve"> a location other than the State of California. </w:t>
      </w:r>
      <w:r w:rsidRPr="008871E2">
        <w:rPr>
          <w:sz w:val="22"/>
          <w:szCs w:val="22"/>
        </w:rPr>
        <w:t xml:space="preserve"> </w:t>
      </w:r>
    </w:p>
    <w:p w:rsidR="005F401B" w:rsidRPr="008871E2" w:rsidRDefault="005F401B" w:rsidP="00BD511B">
      <w:pPr>
        <w:rPr>
          <w:sz w:val="22"/>
          <w:szCs w:val="22"/>
        </w:rPr>
      </w:pPr>
    </w:p>
    <w:p w:rsidR="00BD511B" w:rsidRPr="008871E2" w:rsidRDefault="00E22CCF" w:rsidP="0014693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For the aforementioned reason, plus for reasons of security of armored car cargo, driver and operator safety, and the need to not hamper the drive-off capability of an armored car w</w:t>
      </w:r>
      <w:r w:rsidR="00BD511B" w:rsidRPr="008871E2">
        <w:rPr>
          <w:sz w:val="22"/>
          <w:szCs w:val="22"/>
        </w:rPr>
        <w:t>e ar</w:t>
      </w:r>
      <w:r>
        <w:rPr>
          <w:sz w:val="22"/>
          <w:szCs w:val="22"/>
        </w:rPr>
        <w:t xml:space="preserve">e pleased that staff recognized the requirement and suggestions of the affected industries </w:t>
      </w:r>
      <w:r w:rsidR="005F401B" w:rsidRPr="008871E2">
        <w:rPr>
          <w:sz w:val="22"/>
          <w:szCs w:val="22"/>
        </w:rPr>
        <w:t>and have taken measures to</w:t>
      </w:r>
      <w:r w:rsidR="002E567C" w:rsidRPr="008871E2">
        <w:rPr>
          <w:sz w:val="22"/>
          <w:szCs w:val="22"/>
        </w:rPr>
        <w:t xml:space="preserve"> include armored cars in the category of exempt</w:t>
      </w:r>
      <w:r w:rsidR="005F401B" w:rsidRPr="008871E2">
        <w:rPr>
          <w:sz w:val="22"/>
          <w:szCs w:val="22"/>
        </w:rPr>
        <w:t xml:space="preserve"> </w:t>
      </w:r>
      <w:r w:rsidR="00146935" w:rsidRPr="008871E2">
        <w:rPr>
          <w:sz w:val="22"/>
          <w:szCs w:val="22"/>
        </w:rPr>
        <w:t xml:space="preserve">vehicles.  Navistar endorses the changes as stipulated in </w:t>
      </w:r>
      <w:r w:rsidR="00146935" w:rsidRPr="008871E2">
        <w:rPr>
          <w:bCs/>
          <w:sz w:val="22"/>
          <w:szCs w:val="22"/>
        </w:rPr>
        <w:t>§ 2485(d</w:t>
      </w:r>
      <w:proofErr w:type="gramStart"/>
      <w:r w:rsidR="00146935" w:rsidRPr="008871E2">
        <w:rPr>
          <w:bCs/>
          <w:sz w:val="22"/>
          <w:szCs w:val="22"/>
        </w:rPr>
        <w:t>)(</w:t>
      </w:r>
      <w:proofErr w:type="gramEnd"/>
      <w:r w:rsidR="00146935" w:rsidRPr="008871E2">
        <w:rPr>
          <w:bCs/>
          <w:sz w:val="22"/>
          <w:szCs w:val="22"/>
        </w:rPr>
        <w:t>2)(M</w:t>
      </w:r>
      <w:r w:rsidR="008871E2" w:rsidRPr="008871E2">
        <w:rPr>
          <w:bCs/>
          <w:sz w:val="22"/>
          <w:szCs w:val="22"/>
        </w:rPr>
        <w:t>)</w:t>
      </w:r>
      <w:r w:rsidR="00146935" w:rsidRPr="008871E2">
        <w:rPr>
          <w:bCs/>
          <w:sz w:val="22"/>
          <w:szCs w:val="22"/>
        </w:rPr>
        <w:t xml:space="preserve"> and </w:t>
      </w:r>
      <w:r w:rsidR="00146935" w:rsidRPr="008871E2">
        <w:rPr>
          <w:sz w:val="22"/>
          <w:szCs w:val="22"/>
        </w:rPr>
        <w:t>1956.8(a)(6)(B)</w:t>
      </w:r>
      <w:r w:rsidR="008871E2" w:rsidRPr="008871E2">
        <w:rPr>
          <w:sz w:val="22"/>
          <w:szCs w:val="22"/>
        </w:rPr>
        <w:t>.</w:t>
      </w:r>
    </w:p>
    <w:p w:rsidR="0090343E" w:rsidRDefault="0090343E" w:rsidP="0090343E">
      <w:pPr>
        <w:rPr>
          <w:szCs w:val="24"/>
        </w:rPr>
      </w:pPr>
    </w:p>
    <w:p w:rsidR="008871E2" w:rsidRDefault="008871E2" w:rsidP="0090343E">
      <w:pPr>
        <w:rPr>
          <w:szCs w:val="24"/>
        </w:rPr>
      </w:pPr>
    </w:p>
    <w:p w:rsidR="008871E2" w:rsidRPr="003B3163" w:rsidRDefault="008871E2" w:rsidP="0090343E">
      <w:pPr>
        <w:rPr>
          <w:sz w:val="22"/>
          <w:szCs w:val="22"/>
        </w:rPr>
      </w:pPr>
      <w:r w:rsidRPr="003B3163">
        <w:rPr>
          <w:sz w:val="22"/>
          <w:szCs w:val="22"/>
        </w:rPr>
        <w:t>Respectfully submitted by Thomas Kramer, Navistar, Inc, Engine Group Emissions Certification and Compliance</w:t>
      </w:r>
    </w:p>
    <w:p w:rsidR="0090343E" w:rsidRPr="0090343E" w:rsidRDefault="0090343E" w:rsidP="0090343E">
      <w:pPr>
        <w:rPr>
          <w:szCs w:val="24"/>
        </w:rPr>
      </w:pPr>
      <w:r w:rsidRPr="0090343E">
        <w:rPr>
          <w:szCs w:val="24"/>
        </w:rPr>
        <w:t xml:space="preserve">  </w:t>
      </w:r>
      <w:r w:rsidRPr="0090343E">
        <w:rPr>
          <w:szCs w:val="24"/>
        </w:rPr>
        <w:tab/>
      </w:r>
      <w:r w:rsidRPr="0090343E">
        <w:rPr>
          <w:szCs w:val="24"/>
        </w:rPr>
        <w:tab/>
      </w:r>
      <w:r w:rsidRPr="0090343E">
        <w:rPr>
          <w:szCs w:val="24"/>
        </w:rPr>
        <w:tab/>
      </w:r>
      <w:r w:rsidRPr="0090343E">
        <w:rPr>
          <w:szCs w:val="24"/>
        </w:rPr>
        <w:tab/>
      </w:r>
      <w:r w:rsidRPr="0090343E">
        <w:rPr>
          <w:szCs w:val="24"/>
        </w:rPr>
        <w:tab/>
      </w:r>
      <w:r w:rsidRPr="0090343E">
        <w:rPr>
          <w:szCs w:val="24"/>
        </w:rPr>
        <w:tab/>
      </w:r>
      <w:r w:rsidRPr="0090343E">
        <w:rPr>
          <w:szCs w:val="24"/>
        </w:rPr>
        <w:tab/>
      </w:r>
      <w:r w:rsidRPr="0090343E">
        <w:rPr>
          <w:szCs w:val="24"/>
        </w:rPr>
        <w:tab/>
      </w:r>
      <w:r w:rsidRPr="0090343E">
        <w:rPr>
          <w:szCs w:val="24"/>
        </w:rPr>
        <w:tab/>
        <w:t xml:space="preserve"> </w:t>
      </w:r>
    </w:p>
    <w:p w:rsidR="0090343E" w:rsidRPr="0090343E" w:rsidRDefault="0090343E" w:rsidP="0090343E">
      <w:pPr>
        <w:rPr>
          <w:szCs w:val="24"/>
        </w:rPr>
      </w:pPr>
    </w:p>
    <w:sectPr w:rsidR="0090343E" w:rsidRPr="0090343E" w:rsidSect="00191662">
      <w:headerReference w:type="default" r:id="rId6"/>
      <w:type w:val="continuous"/>
      <w:pgSz w:w="12240" w:h="15840"/>
      <w:pgMar w:top="1440" w:right="117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935" w:rsidRDefault="00146935">
      <w:r>
        <w:separator/>
      </w:r>
    </w:p>
  </w:endnote>
  <w:endnote w:type="continuationSeparator" w:id="1">
    <w:p w:rsidR="00146935" w:rsidRDefault="001469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935" w:rsidRDefault="00146935">
      <w:r>
        <w:separator/>
      </w:r>
    </w:p>
  </w:footnote>
  <w:footnote w:type="continuationSeparator" w:id="1">
    <w:p w:rsidR="00146935" w:rsidRDefault="001469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1160" w:type="dxa"/>
      <w:tblInd w:w="-972" w:type="dxa"/>
      <w:tblLook w:val="00BF"/>
    </w:tblPr>
    <w:tblGrid>
      <w:gridCol w:w="2430"/>
      <w:gridCol w:w="6210"/>
      <w:gridCol w:w="2520"/>
    </w:tblGrid>
    <w:tr w:rsidR="00146935" w:rsidRPr="00193EF0">
      <w:trPr>
        <w:trHeight w:val="1880"/>
      </w:trPr>
      <w:tc>
        <w:tcPr>
          <w:tcW w:w="2430" w:type="dxa"/>
          <w:tcBorders>
            <w:top w:val="nil"/>
            <w:left w:val="nil"/>
            <w:bottom w:val="nil"/>
            <w:right w:val="nil"/>
          </w:tcBorders>
        </w:tcPr>
        <w:p w:rsidR="00146935" w:rsidRPr="00193EF0" w:rsidRDefault="008871E2" w:rsidP="00191662">
          <w:pPr>
            <w:pStyle w:val="Header"/>
            <w:rPr>
              <w:sz w:val="18"/>
            </w:rPr>
          </w:pPr>
          <w:r>
            <w:rPr>
              <w:noProof/>
              <w:sz w:val="18"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-532130</wp:posOffset>
                </wp:positionH>
                <wp:positionV relativeFrom="paragraph">
                  <wp:posOffset>-454660</wp:posOffset>
                </wp:positionV>
                <wp:extent cx="1837055" cy="1134745"/>
                <wp:effectExtent l="19050" t="0" r="0" b="0"/>
                <wp:wrapNone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7055" cy="1134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210" w:type="dxa"/>
          <w:tcBorders>
            <w:top w:val="nil"/>
            <w:left w:val="nil"/>
            <w:bottom w:val="nil"/>
            <w:right w:val="nil"/>
          </w:tcBorders>
        </w:tcPr>
        <w:p w:rsidR="00146935" w:rsidRPr="00193EF0" w:rsidRDefault="00146935" w:rsidP="00191662">
          <w:pPr>
            <w:pStyle w:val="Header"/>
            <w:ind w:left="90"/>
            <w:rPr>
              <w:rFonts w:ascii="Arial" w:hAnsi="Arial"/>
              <w:b/>
              <w:sz w:val="14"/>
            </w:rPr>
          </w:pPr>
        </w:p>
        <w:p w:rsidR="00146935" w:rsidRPr="00193EF0" w:rsidRDefault="00146935" w:rsidP="00191662">
          <w:pPr>
            <w:pStyle w:val="Header"/>
            <w:ind w:left="90"/>
            <w:rPr>
              <w:rFonts w:ascii="Arial" w:hAnsi="Arial"/>
              <w:b/>
              <w:sz w:val="16"/>
            </w:rPr>
          </w:pPr>
          <w:r w:rsidRPr="00193EF0">
            <w:rPr>
              <w:rFonts w:ascii="Arial" w:hAnsi="Arial"/>
              <w:b/>
              <w:sz w:val="16"/>
            </w:rPr>
            <w:t>Navistar, Inc.</w:t>
          </w:r>
        </w:p>
        <w:p w:rsidR="00146935" w:rsidRPr="00193EF0" w:rsidRDefault="00146935" w:rsidP="00191662">
          <w:pPr>
            <w:pStyle w:val="Header"/>
            <w:ind w:left="90"/>
            <w:rPr>
              <w:rFonts w:ascii="Arial" w:hAnsi="Arial"/>
              <w:sz w:val="16"/>
            </w:rPr>
          </w:pPr>
          <w:r w:rsidRPr="00193EF0">
            <w:rPr>
              <w:rFonts w:ascii="Arial" w:hAnsi="Arial"/>
              <w:sz w:val="16"/>
            </w:rPr>
            <w:t>10400 West North Avenue</w:t>
          </w:r>
        </w:p>
        <w:p w:rsidR="00146935" w:rsidRPr="00193EF0" w:rsidRDefault="00146935" w:rsidP="00191662">
          <w:pPr>
            <w:pStyle w:val="Header"/>
            <w:ind w:left="90"/>
            <w:rPr>
              <w:rFonts w:ascii="Arial" w:hAnsi="Arial"/>
              <w:sz w:val="16"/>
            </w:rPr>
          </w:pPr>
          <w:r w:rsidRPr="00193EF0">
            <w:rPr>
              <w:rFonts w:ascii="Arial" w:hAnsi="Arial"/>
              <w:sz w:val="16"/>
            </w:rPr>
            <w:t>Melrose Park, IL 60160 USA</w:t>
          </w:r>
        </w:p>
        <w:p w:rsidR="00146935" w:rsidRPr="00193EF0" w:rsidRDefault="00146935" w:rsidP="00191662">
          <w:pPr>
            <w:pStyle w:val="Header"/>
            <w:ind w:left="90"/>
            <w:rPr>
              <w:rFonts w:ascii="Arial" w:hAnsi="Arial"/>
              <w:sz w:val="18"/>
            </w:rPr>
          </w:pPr>
        </w:p>
        <w:p w:rsidR="00146935" w:rsidRPr="00193EF0" w:rsidRDefault="00146935" w:rsidP="00191662">
          <w:pPr>
            <w:pStyle w:val="Header"/>
            <w:ind w:left="90"/>
            <w:rPr>
              <w:rFonts w:ascii="Arial" w:hAnsi="Arial"/>
              <w:sz w:val="16"/>
            </w:rPr>
          </w:pPr>
          <w:r w:rsidRPr="00193EF0">
            <w:rPr>
              <w:rFonts w:ascii="Arial" w:hAnsi="Arial"/>
              <w:b/>
              <w:sz w:val="16"/>
            </w:rPr>
            <w:t>P</w:t>
          </w:r>
          <w:r w:rsidRPr="00193EF0">
            <w:rPr>
              <w:rFonts w:ascii="Arial" w:hAnsi="Arial"/>
              <w:sz w:val="16"/>
            </w:rPr>
            <w:t xml:space="preserve"> : 708-865-</w:t>
          </w:r>
          <w:r>
            <w:rPr>
              <w:rFonts w:ascii="Arial" w:hAnsi="Arial"/>
              <w:sz w:val="16"/>
            </w:rPr>
            <w:t>3830</w:t>
          </w:r>
        </w:p>
        <w:p w:rsidR="00146935" w:rsidRPr="00193EF0" w:rsidRDefault="00146935" w:rsidP="00191662">
          <w:pPr>
            <w:pStyle w:val="Header"/>
            <w:ind w:left="90"/>
            <w:rPr>
              <w:rFonts w:ascii="Arial" w:hAnsi="Arial"/>
              <w:sz w:val="18"/>
            </w:rPr>
          </w:pPr>
          <w:r w:rsidRPr="00193EF0">
            <w:rPr>
              <w:rFonts w:ascii="Arial" w:hAnsi="Arial"/>
              <w:b/>
              <w:sz w:val="16"/>
            </w:rPr>
            <w:t>W</w:t>
          </w:r>
          <w:r w:rsidRPr="00193EF0">
            <w:rPr>
              <w:rFonts w:ascii="Arial" w:hAnsi="Arial"/>
              <w:sz w:val="16"/>
            </w:rPr>
            <w:t xml:space="preserve"> :</w:t>
          </w:r>
          <w:proofErr w:type="spellStart"/>
          <w:r>
            <w:rPr>
              <w:rFonts w:ascii="Arial" w:hAnsi="Arial"/>
              <w:sz w:val="16"/>
            </w:rPr>
            <w:t>tom.kramer</w:t>
          </w:r>
          <w:proofErr w:type="spellEnd"/>
          <w:r>
            <w:rPr>
              <w:rFonts w:ascii="Arial" w:hAnsi="Arial"/>
              <w:sz w:val="16"/>
            </w:rPr>
            <w:t>@</w:t>
          </w:r>
          <w:r w:rsidRPr="00193EF0">
            <w:rPr>
              <w:rFonts w:ascii="Arial" w:hAnsi="Arial"/>
              <w:sz w:val="16"/>
            </w:rPr>
            <w:t xml:space="preserve"> navistar.com</w:t>
          </w:r>
        </w:p>
      </w:tc>
      <w:tc>
        <w:tcPr>
          <w:tcW w:w="2520" w:type="dxa"/>
          <w:tcBorders>
            <w:top w:val="nil"/>
            <w:left w:val="nil"/>
            <w:bottom w:val="nil"/>
            <w:right w:val="nil"/>
          </w:tcBorders>
        </w:tcPr>
        <w:p w:rsidR="00146935" w:rsidRPr="00193EF0" w:rsidRDefault="00146935" w:rsidP="00191662">
          <w:pPr>
            <w:pStyle w:val="Header"/>
            <w:ind w:right="-108"/>
            <w:rPr>
              <w:rFonts w:ascii="Arial" w:hAnsi="Arial"/>
              <w:sz w:val="14"/>
            </w:rPr>
          </w:pPr>
        </w:p>
        <w:p w:rsidR="00146935" w:rsidRDefault="00146935" w:rsidP="00191662">
          <w:pPr>
            <w:pStyle w:val="Header"/>
            <w:ind w:right="-108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Thomas Kramer</w:t>
          </w:r>
        </w:p>
        <w:p w:rsidR="00146935" w:rsidRDefault="00146935" w:rsidP="00191662">
          <w:pPr>
            <w:pStyle w:val="Header"/>
            <w:ind w:right="-108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Product Manager</w:t>
          </w:r>
        </w:p>
        <w:p w:rsidR="00146935" w:rsidRPr="00193EF0" w:rsidRDefault="00146935" w:rsidP="00191662">
          <w:pPr>
            <w:pStyle w:val="Header"/>
            <w:ind w:right="-108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Emissions Certification</w:t>
          </w:r>
        </w:p>
        <w:p w:rsidR="00146935" w:rsidRPr="00193EF0" w:rsidRDefault="00146935" w:rsidP="00191662">
          <w:pPr>
            <w:pStyle w:val="Header"/>
            <w:ind w:right="-108"/>
            <w:rPr>
              <w:rFonts w:ascii="Arial" w:hAnsi="Arial"/>
              <w:sz w:val="18"/>
            </w:rPr>
          </w:pPr>
          <w:r>
            <w:rPr>
              <w:rFonts w:ascii="Arial" w:hAnsi="Arial"/>
              <w:sz w:val="16"/>
            </w:rPr>
            <w:t>Engine Engineering</w:t>
          </w:r>
        </w:p>
      </w:tc>
    </w:tr>
  </w:tbl>
  <w:p w:rsidR="00146935" w:rsidRPr="00193EF0" w:rsidRDefault="00146935" w:rsidP="00191662">
    <w:pPr>
      <w:pStyle w:val="Header"/>
      <w:rPr>
        <w:rFonts w:ascii="Arial" w:hAnsi="Arial"/>
        <w:sz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3074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C7461A"/>
    <w:rsid w:val="00146935"/>
    <w:rsid w:val="00191662"/>
    <w:rsid w:val="001B7E02"/>
    <w:rsid w:val="002E567C"/>
    <w:rsid w:val="00392693"/>
    <w:rsid w:val="003B3163"/>
    <w:rsid w:val="005F401B"/>
    <w:rsid w:val="00872BBD"/>
    <w:rsid w:val="008871E2"/>
    <w:rsid w:val="0090343E"/>
    <w:rsid w:val="009B61AD"/>
    <w:rsid w:val="00BD511B"/>
    <w:rsid w:val="00E22CCF"/>
    <w:rsid w:val="00F51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none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193EF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93EF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93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255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26, 2008</vt:lpstr>
    </vt:vector>
  </TitlesOfParts>
  <Company>Bagby and Company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26, 2008</dc:title>
  <dc:subject/>
  <dc:creator>Tom Clark</dc:creator>
  <cp:keywords/>
  <cp:lastModifiedBy>u00tmk2</cp:lastModifiedBy>
  <cp:revision>4</cp:revision>
  <cp:lastPrinted>2008-04-08T20:35:00Z</cp:lastPrinted>
  <dcterms:created xsi:type="dcterms:W3CDTF">2008-12-04T13:21:00Z</dcterms:created>
  <dcterms:modified xsi:type="dcterms:W3CDTF">2008-12-04T13:34:00Z</dcterms:modified>
</cp:coreProperties>
</file>